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420"/>
        <w:tblW w:w="10628" w:type="dxa"/>
        <w:tblLook w:val="01E0" w:firstRow="1" w:lastRow="1" w:firstColumn="1" w:lastColumn="1" w:noHBand="0" w:noVBand="0"/>
      </w:tblPr>
      <w:tblGrid>
        <w:gridCol w:w="4940"/>
        <w:gridCol w:w="5688"/>
      </w:tblGrid>
      <w:tr w:rsidR="001607AE" w:rsidRPr="001607AE" w14:paraId="4B017581" w14:textId="77777777" w:rsidTr="00653B3D">
        <w:trPr>
          <w:trHeight w:val="841"/>
        </w:trPr>
        <w:tc>
          <w:tcPr>
            <w:tcW w:w="4940" w:type="dxa"/>
          </w:tcPr>
          <w:p w14:paraId="5E3BDE5B" w14:textId="77777777" w:rsidR="00BF7AAF" w:rsidRPr="001607AE" w:rsidRDefault="00BF7AAF" w:rsidP="00653B3D">
            <w:pPr>
              <w:jc w:val="center"/>
              <w:rPr>
                <w:color w:val="0D0D0D" w:themeColor="text1" w:themeTint="F2"/>
                <w:sz w:val="26"/>
              </w:rPr>
            </w:pPr>
            <w:r w:rsidRPr="001607AE">
              <w:rPr>
                <w:color w:val="0D0D0D" w:themeColor="text1" w:themeTint="F2"/>
                <w:sz w:val="26"/>
              </w:rPr>
              <w:t>UBND TỈNH LÀO CAI</w:t>
            </w:r>
          </w:p>
          <w:p w14:paraId="584027D6" w14:textId="68F003D8" w:rsidR="00BF7AAF" w:rsidRPr="001607AE" w:rsidRDefault="00653B3D" w:rsidP="00653B3D">
            <w:pPr>
              <w:jc w:val="center"/>
              <w:rPr>
                <w:b/>
                <w:color w:val="0D0D0D" w:themeColor="text1" w:themeTint="F2"/>
                <w:sz w:val="26"/>
                <w:szCs w:val="26"/>
              </w:rPr>
            </w:pPr>
            <w:r w:rsidRPr="001607AE">
              <w:rPr>
                <w:noProof/>
                <w:color w:val="0D0D0D" w:themeColor="text1" w:themeTint="F2"/>
              </w:rPr>
              <mc:AlternateContent>
                <mc:Choice Requires="wps">
                  <w:drawing>
                    <wp:anchor distT="0" distB="0" distL="114300" distR="114300" simplePos="0" relativeHeight="251659264" behindDoc="0" locked="0" layoutInCell="1" allowOverlap="1" wp14:anchorId="25F403CC" wp14:editId="1178CD92">
                      <wp:simplePos x="0" y="0"/>
                      <wp:positionH relativeFrom="column">
                        <wp:posOffset>1022350</wp:posOffset>
                      </wp:positionH>
                      <wp:positionV relativeFrom="paragraph">
                        <wp:posOffset>228229</wp:posOffset>
                      </wp:positionV>
                      <wp:extent cx="977900" cy="0"/>
                      <wp:effectExtent l="0" t="0" r="0" b="0"/>
                      <wp:wrapNone/>
                      <wp:docPr id="1" name="Straight Connector 2"/>
                      <wp:cNvGraphicFramePr/>
                      <a:graphic xmlns:a="http://schemas.openxmlformats.org/drawingml/2006/main">
                        <a:graphicData uri="http://schemas.microsoft.com/office/word/2010/wordprocessingShape">
                          <wps:wsp>
                            <wps:cNvCnPr/>
                            <wps:spPr bwMode="auto">
                              <a:xfrm>
                                <a:off x="0" y="0"/>
                                <a:ext cx="977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3F920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7.95pt" to="15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qkjwEAABUDAAAOAAAAZHJzL2Uyb0RvYy54bWysUsluGzEMvRfoPwi61zMxkKYZeJxD0vTS&#10;JUDbD6C1eARIoiDKHvvvS8lLt1tRHQiKyxPfo1YPh+DF3mRyGEd5s+ilMFGhdnE7yu/fnt+8k4IK&#10;RA0eoxnl0ZB8WL9+tZrTYJY4odcmCwaJNMxplFMpaeg6UpMJQAtMJnLSYg5Q+Jq3nc4wM3rw3bLv&#10;33YzZp0yKkPE0adTUq4bvrVGlS/WkinCj5JnK83mZjfVdusVDNsMaXLqPAb8wxQBXORHr1BPUEDs&#10;svsLKjiVkdCWhcLQobVOmcaB2dz0f7D5OkEyjQuLQ+kqE/0/WPV5/xhfMsswJxoovWSxmT+h5lXB&#10;rmDjdLA5VG48rTg06Y5X6cyhCMXB+7u7+54FVpdUB8OlL2UqHwwGUZ1RehcrKRhg/5EKv8yll5Ia&#10;jvjsvG+L8VHMjH27vG0NhN7pmqxllLebR5/FHupq26nbZLDfyjLuom5gkwH9/uwXcP7kc72P3Hah&#10;fxJig/rYVGlx1r4Bn/9JXe6v99b98zevfwAAAP//AwBQSwMEFAAGAAgAAAAhAFhbItvcAAAACQEA&#10;AA8AAABkcnMvZG93bnJldi54bWxMj8FOwzAQRO9I/IO1SFwq6qRRKwhxKgTkxoUC4rqNlyQiXqex&#10;2wa+nkU9wHFmR7NvivXkenWgMXSeDaTzBBRx7W3HjYHXl+rqGlSIyBZ7z2TgiwKsy/OzAnPrj/xM&#10;h01slJRwyNFAG+OQax3qlhyGuR+I5fbhR4dR5NhoO+JRyl2vF0my0g47lg8tDnTfUv252TsDoXqj&#10;XfU9q2fJe9Z4Wuwenh7RmMuL6e4WVKQp/oXhF1/QoRSmrd+zDaoXvUplSzSQLW9ASSBLl2JsT4Yu&#10;C/1/QfkDAAD//wMAUEsBAi0AFAAGAAgAAAAhALaDOJL+AAAA4QEAABMAAAAAAAAAAAAAAAAAAAAA&#10;AFtDb250ZW50X1R5cGVzXS54bWxQSwECLQAUAAYACAAAACEAOP0h/9YAAACUAQAACwAAAAAAAAAA&#10;AAAAAAAvAQAAX3JlbHMvLnJlbHNQSwECLQAUAAYACAAAACEA4ysqpI8BAAAVAwAADgAAAAAAAAAA&#10;AAAAAAAuAgAAZHJzL2Uyb0RvYy54bWxQSwECLQAUAAYACAAAACEAWFsi29wAAAAJAQAADwAAAAAA&#10;AAAAAAAAAADpAwAAZHJzL2Rvd25yZXYueG1sUEsFBgAAAAAEAAQA8wAAAPIEAAAAAA==&#10;"/>
                  </w:pict>
                </mc:Fallback>
              </mc:AlternateContent>
            </w:r>
            <w:r w:rsidR="00BF7AAF" w:rsidRPr="001607AE">
              <w:rPr>
                <w:b/>
                <w:color w:val="0D0D0D" w:themeColor="text1" w:themeTint="F2"/>
                <w:sz w:val="26"/>
              </w:rPr>
              <w:t>SỞ KHOA HỌC VÀ CÔNG NGHỆ</w:t>
            </w:r>
          </w:p>
        </w:tc>
        <w:tc>
          <w:tcPr>
            <w:tcW w:w="5688" w:type="dxa"/>
          </w:tcPr>
          <w:p w14:paraId="30452BF0" w14:textId="77777777" w:rsidR="00BF7AAF" w:rsidRPr="001607AE" w:rsidRDefault="00BF7AAF" w:rsidP="00653B3D">
            <w:pPr>
              <w:jc w:val="center"/>
              <w:rPr>
                <w:b/>
                <w:color w:val="0D0D0D" w:themeColor="text1" w:themeTint="F2"/>
                <w:sz w:val="26"/>
                <w:szCs w:val="26"/>
              </w:rPr>
            </w:pPr>
            <w:r w:rsidRPr="001607AE">
              <w:rPr>
                <w:b/>
                <w:color w:val="0D0D0D" w:themeColor="text1" w:themeTint="F2"/>
                <w:sz w:val="26"/>
                <w:szCs w:val="26"/>
              </w:rPr>
              <w:t>CỘNG HÒA XÃ HỘI CHỦ NGHĨA VIỆT NAM</w:t>
            </w:r>
          </w:p>
          <w:p w14:paraId="05EF5E4D" w14:textId="0C7FCD81" w:rsidR="00BF7AAF" w:rsidRPr="001607AE" w:rsidRDefault="00653B3D" w:rsidP="00653B3D">
            <w:pPr>
              <w:jc w:val="center"/>
              <w:rPr>
                <w:b/>
                <w:color w:val="0D0D0D" w:themeColor="text1" w:themeTint="F2"/>
              </w:rPr>
            </w:pPr>
            <w:r w:rsidRPr="001607AE">
              <w:rPr>
                <w:noProof/>
                <w:color w:val="0D0D0D" w:themeColor="text1" w:themeTint="F2"/>
              </w:rPr>
              <mc:AlternateContent>
                <mc:Choice Requires="wps">
                  <w:drawing>
                    <wp:anchor distT="0" distB="0" distL="114300" distR="114300" simplePos="0" relativeHeight="251660288" behindDoc="0" locked="0" layoutInCell="1" allowOverlap="1" wp14:anchorId="1B2ADB83" wp14:editId="19DE312A">
                      <wp:simplePos x="0" y="0"/>
                      <wp:positionH relativeFrom="column">
                        <wp:posOffset>717550</wp:posOffset>
                      </wp:positionH>
                      <wp:positionV relativeFrom="paragraph">
                        <wp:posOffset>239131</wp:posOffset>
                      </wp:positionV>
                      <wp:extent cx="1955800" cy="0"/>
                      <wp:effectExtent l="0" t="0" r="0" b="0"/>
                      <wp:wrapNone/>
                      <wp:docPr id="2" name="Straight Connector 1"/>
                      <wp:cNvGraphicFramePr/>
                      <a:graphic xmlns:a="http://schemas.openxmlformats.org/drawingml/2006/main">
                        <a:graphicData uri="http://schemas.microsoft.com/office/word/2010/wordprocessingShape">
                          <wps:wsp>
                            <wps:cNvCnPr/>
                            <wps:spPr bwMode="auto">
                              <a:xfrm>
                                <a:off x="0" y="0"/>
                                <a:ext cx="195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5AE81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8.85pt" to="21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kwkQEAABYDAAAOAAAAZHJzL2Uyb0RvYy54bWysUsluGzEMvRfIPwi61zM24CIZeJxD0uTS&#10;JUCbD6C1eARoREGUPfbfl5KXtsmtqA4ExeWJ71Gr+8Poxd4kchh6OZ+1UpigULuw7eXrz6ePt1JQ&#10;hqDBYzC9PBqS9+ubD6spdmaBA3ptkmCQQN0UeznkHLumITWYEWiG0QROWkwjZL6mbaMTTIw++mbR&#10;tp+aCZOOCZUh4ujjKSnXFd9ao/J3a8lk4XvJs+VqU7WbYpv1Crptgjg4dR4D/mGKEVzgR69Qj5BB&#10;7JJ7BzU6lZDQ5pnCsUFrnTKVA7OZt2/Y/BggmsqFxaF4lYn+H6z6tn8IL4llmCJ1FF+S2ExfUfOq&#10;YJexcjrYNBZuPK04VOmOV+nMIQvFwfndcnnbssLqkmuguzTGRPnZ4CiK00vvQmEFHey/UOanufRS&#10;UsIBn5z3dTM+iKmXd8vFsjYQeqdLspRR2m4efBJ7KLutp6yTwf4qS7gLuoINBvTns5/B+ZPP9T5w&#10;24X/SYkN6mOVpcZZ/Ap8/ihlu3/ea/fv77z+BQAA//8DAFBLAwQUAAYACAAAACEArvHNyNwAAAAJ&#10;AQAADwAAAGRycy9kb3ducmV2LnhtbEyPzU7DMBCE70i8g7VIXCrq/CCKQpwKAblxoYC4buMliYjX&#10;aey2gadnEQc4zuxo9ptyPbtBHWgKvWcD6TIBRdx423Nr4OW5vrgGFSKyxcEzGfikAOvq9KTEwvoj&#10;P9FhE1slJRwKNNDFOBZah6Yjh2HpR2K5vfvJYRQ5tdpOeJRyN+gsSa60w57lQ4cj3XXUfGz2zkCo&#10;X2lXfy2aRfKWt56y3f3jAxpzfjbf3oCKNMe/MPzgCzpUwrT1e7ZBDaLTXLZEA/lqBUoCl1kqxvbX&#10;0FWp/y+ovgEAAP//AwBQSwECLQAUAAYACAAAACEAtoM4kv4AAADhAQAAEwAAAAAAAAAAAAAAAAAA&#10;AAAAW0NvbnRlbnRfVHlwZXNdLnhtbFBLAQItABQABgAIAAAAIQA4/SH/1gAAAJQBAAALAAAAAAAA&#10;AAAAAAAAAC8BAABfcmVscy8ucmVsc1BLAQItABQABgAIAAAAIQDDHlkwkQEAABYDAAAOAAAAAAAA&#10;AAAAAAAAAC4CAABkcnMvZTJvRG9jLnhtbFBLAQItABQABgAIAAAAIQCu8c3I3AAAAAkBAAAPAAAA&#10;AAAAAAAAAAAAAOsDAABkcnMvZG93bnJldi54bWxQSwUGAAAAAAQABADzAAAA9AQAAAAA&#10;"/>
                  </w:pict>
                </mc:Fallback>
              </mc:AlternateContent>
            </w:r>
            <w:r w:rsidR="00BF7AAF" w:rsidRPr="001607AE">
              <w:rPr>
                <w:b/>
                <w:color w:val="0D0D0D" w:themeColor="text1" w:themeTint="F2"/>
              </w:rPr>
              <w:t>Độc lập - Tự do - Hạnh phúc</w:t>
            </w:r>
          </w:p>
        </w:tc>
      </w:tr>
      <w:tr w:rsidR="001607AE" w:rsidRPr="001607AE" w14:paraId="18C48484" w14:textId="77777777" w:rsidTr="00653B3D">
        <w:trPr>
          <w:trHeight w:val="691"/>
        </w:trPr>
        <w:tc>
          <w:tcPr>
            <w:tcW w:w="4940" w:type="dxa"/>
          </w:tcPr>
          <w:p w14:paraId="026E38D2" w14:textId="6D155CA6" w:rsidR="00ED72AF" w:rsidRPr="001607AE" w:rsidRDefault="00ED72AF" w:rsidP="00795C1A">
            <w:pPr>
              <w:jc w:val="center"/>
              <w:rPr>
                <w:color w:val="0D0D0D" w:themeColor="text1" w:themeTint="F2"/>
                <w:sz w:val="24"/>
                <w:szCs w:val="24"/>
              </w:rPr>
            </w:pPr>
          </w:p>
        </w:tc>
        <w:tc>
          <w:tcPr>
            <w:tcW w:w="5688" w:type="dxa"/>
          </w:tcPr>
          <w:p w14:paraId="598685B6" w14:textId="68877378" w:rsidR="00BF7AAF" w:rsidRPr="001607AE" w:rsidRDefault="00653B3D" w:rsidP="00653B3D">
            <w:pPr>
              <w:jc w:val="center"/>
              <w:rPr>
                <w:b/>
                <w:i/>
                <w:color w:val="0D0D0D" w:themeColor="text1" w:themeTint="F2"/>
              </w:rPr>
            </w:pPr>
            <w:r w:rsidRPr="001607AE">
              <w:rPr>
                <w:i/>
                <w:color w:val="0D0D0D" w:themeColor="text1" w:themeTint="F2"/>
              </w:rPr>
              <w:t xml:space="preserve">Lào Cai, ngày       tháng </w:t>
            </w:r>
            <w:r w:rsidR="0081273E" w:rsidRPr="001607AE">
              <w:rPr>
                <w:i/>
                <w:color w:val="0D0D0D" w:themeColor="text1" w:themeTint="F2"/>
              </w:rPr>
              <w:t xml:space="preserve">    </w:t>
            </w:r>
            <w:r w:rsidR="00422554" w:rsidRPr="001607AE">
              <w:rPr>
                <w:i/>
                <w:color w:val="0D0D0D" w:themeColor="text1" w:themeTint="F2"/>
              </w:rPr>
              <w:t xml:space="preserve"> </w:t>
            </w:r>
            <w:r w:rsidRPr="001607AE">
              <w:rPr>
                <w:i/>
                <w:color w:val="0D0D0D" w:themeColor="text1" w:themeTint="F2"/>
              </w:rPr>
              <w:t xml:space="preserve"> năm</w:t>
            </w:r>
            <w:r w:rsidR="00795C1A" w:rsidRPr="001607AE">
              <w:rPr>
                <w:i/>
                <w:color w:val="0D0D0D" w:themeColor="text1" w:themeTint="F2"/>
              </w:rPr>
              <w:t xml:space="preserve"> 2026</w:t>
            </w:r>
            <w:r w:rsidRPr="001607AE">
              <w:rPr>
                <w:i/>
                <w:color w:val="0D0D0D" w:themeColor="text1" w:themeTint="F2"/>
              </w:rPr>
              <w:t xml:space="preserve"> </w:t>
            </w:r>
            <w:r w:rsidR="0081273E" w:rsidRPr="001607AE">
              <w:rPr>
                <w:i/>
                <w:color w:val="0D0D0D" w:themeColor="text1" w:themeTint="F2"/>
              </w:rPr>
              <w:t xml:space="preserve">      </w:t>
            </w:r>
          </w:p>
        </w:tc>
      </w:tr>
    </w:tbl>
    <w:p w14:paraId="68571149" w14:textId="3F6DCA96" w:rsidR="00AE504D" w:rsidRPr="001607AE" w:rsidRDefault="00AE504D" w:rsidP="00C753EE">
      <w:pPr>
        <w:jc w:val="both"/>
        <w:rPr>
          <w:color w:val="0D0D0D" w:themeColor="text1" w:themeTint="F2"/>
          <w:sz w:val="16"/>
          <w:szCs w:val="16"/>
        </w:rPr>
      </w:pPr>
    </w:p>
    <w:p w14:paraId="650F5FC6" w14:textId="77777777" w:rsidR="000818CE" w:rsidRPr="001607AE" w:rsidRDefault="000818CE" w:rsidP="00C753EE">
      <w:pPr>
        <w:jc w:val="both"/>
        <w:rPr>
          <w:color w:val="0D0D0D" w:themeColor="text1" w:themeTint="F2"/>
          <w:sz w:val="2"/>
          <w:szCs w:val="2"/>
        </w:rPr>
      </w:pPr>
    </w:p>
    <w:p w14:paraId="1F6A972C" w14:textId="0A819634" w:rsidR="000818CE" w:rsidRPr="00DD2BB4" w:rsidRDefault="000818CE" w:rsidP="00796DED">
      <w:pPr>
        <w:widowControl w:val="0"/>
        <w:jc w:val="center"/>
        <w:rPr>
          <w:b/>
          <w:bCs/>
          <w:color w:val="0D0D0D" w:themeColor="text1" w:themeTint="F2"/>
        </w:rPr>
      </w:pPr>
      <w:r w:rsidRPr="00DD2BB4">
        <w:rPr>
          <w:b/>
          <w:bCs/>
          <w:color w:val="0D0D0D" w:themeColor="text1" w:themeTint="F2"/>
          <w:lang w:val="vi-VN"/>
        </w:rPr>
        <w:t xml:space="preserve">BẢN ĐÁNH GIÁ </w:t>
      </w:r>
      <w:r w:rsidRPr="00DD2BB4">
        <w:rPr>
          <w:b/>
          <w:bCs/>
          <w:color w:val="0D0D0D" w:themeColor="text1" w:themeTint="F2"/>
          <w:lang w:val="vi-VN"/>
        </w:rPr>
        <w:br/>
        <w:t>THỦ TỤC HÀNH CHÍNH, VIỆC PHÂN QUYỀN, PHÂN CẤP, VIỆC ỨNG DỤNG, THÚC ĐẨY PHÁT TRIỂN KHOA</w:t>
      </w:r>
      <w:r w:rsidRPr="00DD2BB4">
        <w:rPr>
          <w:b/>
          <w:bCs/>
          <w:color w:val="0D0D0D" w:themeColor="text1" w:themeTint="F2"/>
        </w:rPr>
        <w:t xml:space="preserve"> </w:t>
      </w:r>
      <w:r w:rsidRPr="00DD2BB4">
        <w:rPr>
          <w:b/>
          <w:bCs/>
          <w:color w:val="0D0D0D" w:themeColor="text1" w:themeTint="F2"/>
          <w:lang w:val="vi-VN"/>
        </w:rPr>
        <w:t>HỌC, CÔNG NGHỆ, ĐỔI MỚI SÁNG TẠO VÀ CHUYỂN ĐỔI SỐ,</w:t>
      </w:r>
      <w:r w:rsidRPr="00DD2BB4">
        <w:rPr>
          <w:b/>
          <w:bCs/>
          <w:color w:val="0D0D0D" w:themeColor="text1" w:themeTint="F2"/>
        </w:rPr>
        <w:t xml:space="preserve"> </w:t>
      </w:r>
      <w:r w:rsidRPr="00DD2BB4">
        <w:rPr>
          <w:b/>
          <w:bCs/>
          <w:color w:val="0D0D0D" w:themeColor="text1" w:themeTint="F2"/>
          <w:lang w:val="vi-VN"/>
        </w:rPr>
        <w:t>BẢO ĐẢM BÌNH ĐẲNG GIỚI, VIỆC THỰC HIỆN CHÍNH SÁCH DÂN TỘC TRONG DỰ THẢO</w:t>
      </w:r>
      <w:r w:rsidRPr="00DD2BB4">
        <w:rPr>
          <w:b/>
          <w:bCs/>
          <w:color w:val="0D0D0D" w:themeColor="text1" w:themeTint="F2"/>
        </w:rPr>
        <w:t xml:space="preserve"> “</w:t>
      </w:r>
      <w:r w:rsidRPr="00DD2BB4">
        <w:rPr>
          <w:b/>
          <w:i/>
          <w:color w:val="0D0D0D" w:themeColor="text1" w:themeTint="F2"/>
        </w:rPr>
        <w:t>QUY ĐỊNH QUẢN LÝ CHƯƠNG TRÌNH, NHIỆM VỤ KHOA HỌC, CÔNG NGHỆ VÀ ĐỔI MỚI SÁNG TẠO SỬ DỤNG NGÂN SÁCH NHÀ NƯỚC TỈNH LÀO CAI</w:t>
      </w:r>
    </w:p>
    <w:p w14:paraId="573639A4" w14:textId="0A7DE1F9" w:rsidR="000818CE" w:rsidRPr="001607AE" w:rsidRDefault="000818CE" w:rsidP="000818CE">
      <w:pPr>
        <w:widowControl w:val="0"/>
        <w:spacing w:before="120"/>
        <w:jc w:val="center"/>
        <w:rPr>
          <w:i/>
          <w:color w:val="0D0D0D" w:themeColor="text1" w:themeTint="F2"/>
          <w:sz w:val="26"/>
          <w:szCs w:val="26"/>
        </w:rPr>
      </w:pPr>
      <w:r w:rsidRPr="001607AE">
        <w:rPr>
          <w:i/>
          <w:color w:val="0D0D0D" w:themeColor="text1" w:themeTint="F2"/>
          <w:sz w:val="26"/>
          <w:szCs w:val="26"/>
        </w:rPr>
        <w:t xml:space="preserve">(Ban hành theo Tờ trình số        /TTr-SKHCN ngày      tháng </w:t>
      </w:r>
      <w:r w:rsidR="007B716D" w:rsidRPr="001607AE">
        <w:rPr>
          <w:i/>
          <w:color w:val="0D0D0D" w:themeColor="text1" w:themeTint="F2"/>
          <w:sz w:val="26"/>
          <w:szCs w:val="26"/>
        </w:rPr>
        <w:t xml:space="preserve">   </w:t>
      </w:r>
      <w:r w:rsidRPr="001607AE">
        <w:rPr>
          <w:i/>
          <w:color w:val="0D0D0D" w:themeColor="text1" w:themeTint="F2"/>
          <w:sz w:val="26"/>
          <w:szCs w:val="26"/>
        </w:rPr>
        <w:t xml:space="preserve"> năm 2026</w:t>
      </w:r>
      <w:r w:rsidRPr="001607AE">
        <w:rPr>
          <w:i/>
          <w:color w:val="0D0D0D" w:themeColor="text1" w:themeTint="F2"/>
          <w:sz w:val="26"/>
          <w:szCs w:val="26"/>
        </w:rPr>
        <w:br/>
        <w:t>của Sở Khoa học và Công nghệ)</w:t>
      </w:r>
    </w:p>
    <w:p w14:paraId="564E2D6E" w14:textId="77777777" w:rsidR="000818CE" w:rsidRPr="001607AE" w:rsidRDefault="000818CE" w:rsidP="000818CE">
      <w:pPr>
        <w:widowControl w:val="0"/>
        <w:jc w:val="center"/>
        <w:rPr>
          <w:b/>
          <w:bCs/>
          <w:color w:val="0D0D0D" w:themeColor="text1" w:themeTint="F2"/>
          <w:sz w:val="26"/>
          <w:szCs w:val="26"/>
        </w:rPr>
      </w:pPr>
      <w:r w:rsidRPr="001607AE">
        <w:rPr>
          <w:b/>
          <w:bCs/>
          <w:noProof/>
          <w:color w:val="0D0D0D" w:themeColor="text1" w:themeTint="F2"/>
          <w:sz w:val="26"/>
          <w:szCs w:val="26"/>
        </w:rPr>
        <mc:AlternateContent>
          <mc:Choice Requires="wps">
            <w:drawing>
              <wp:anchor distT="0" distB="0" distL="114300" distR="114300" simplePos="0" relativeHeight="251662336" behindDoc="0" locked="0" layoutInCell="1" allowOverlap="1" wp14:anchorId="579A8D7F" wp14:editId="5F33204B">
                <wp:simplePos x="0" y="0"/>
                <wp:positionH relativeFrom="column">
                  <wp:posOffset>2071370</wp:posOffset>
                </wp:positionH>
                <wp:positionV relativeFrom="paragraph">
                  <wp:posOffset>65405</wp:posOffset>
                </wp:positionV>
                <wp:extent cx="1866900" cy="0"/>
                <wp:effectExtent l="0" t="0" r="19050" b="19050"/>
                <wp:wrapNone/>
                <wp:docPr id="2073178296" name="Straight Connector 2073178296"/>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F55EC8" id="Straight Connector 207317829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3.1pt,5.15pt" to="310.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6iBmgEAAJQDAAAOAAAAZHJzL2Uyb0RvYy54bWysU8tu2zAQvBfoPxC815JzMFLBcg4JkkvR&#10;Bn18AEMtLQIkl1iylvz3XdK2XLQBiha9UHzszO7MrrZ3s3fiAJQshl6uV60UEDQONux7+e3r47tb&#10;KVJWYVAOA/TyCEne7d6+2U6xgxsc0Q1AgklC6qbYyzHn2DVN0iN4lVYYIfCjQfIq85H2zUBqYnbv&#10;mpu23TQT0hAJNaTEtw+nR7mr/MaAzp+MSZCF6yXXlutKdX0pa7Pbqm5PKo5Wn8tQ/1CFVzZw0oXq&#10;QWUlvpP9jcpbTZjQ5JVG36AxVkPVwGrW7S9qvowqQtXC5qS42JT+H63+eLgPz8Q2TDF1KT5TUTEb&#10;8uXL9Ym5mnVczII5C82X69vN5n3LnurLW3MFRkr5CdCLsumls6HoUJ06fEiZk3HoJYQP19R1l48O&#10;SrALn8EIO5RkFV2nAu4diYPifiqtIeR16SHz1egCM9a5Bdj+GXiOL1CoE/M34AVRM2PIC9jbgPRa&#10;9jxfSjan+IsDJ93FghccjrUp1RpufVV4HtMyWz+fK/z6M+1+AAAA//8DAFBLAwQUAAYACAAAACEA&#10;3ZO+P90AAAAJAQAADwAAAGRycy9kb3ducmV2LnhtbEyPzU7DMBCE70i8g7VI3KhNKkUQ4lRVxY+g&#10;IKDwANt4G0eN7Sh20/D2LOIAx535NDtTLibXiZGG2Aav4XKmQJCvg2l9o+Hz4+7iCkRM6A12wZOG&#10;L4qwqE5PSixMOPp3GjepERziY4EabEp9IWWsLTmMs9CTZ28XBoeJz6GRZsAjh7tOZkrl0mHr+YPF&#10;nlaW6v3m4DSslrf3L4/0gPs1Xr+tn+zY7J5ftT4/m5Y3IBJN6Q+Gn/pcHSrutA0Hb6LoNMyzPGOU&#10;DTUHwUCeKRa2v4KsSvl/QfUNAAD//wMAUEsBAi0AFAAGAAgAAAAhALaDOJL+AAAA4QEAABMAAAAA&#10;AAAAAAAAAAAAAAAAAFtDb250ZW50X1R5cGVzXS54bWxQSwECLQAUAAYACAAAACEAOP0h/9YAAACU&#10;AQAACwAAAAAAAAAAAAAAAAAvAQAAX3JlbHMvLnJlbHNQSwECLQAUAAYACAAAACEANyeogZoBAACU&#10;AwAADgAAAAAAAAAAAAAAAAAuAgAAZHJzL2Uyb0RvYy54bWxQSwECLQAUAAYACAAAACEA3ZO+P90A&#10;AAAJAQAADwAAAAAAAAAAAAAAAAD0AwAAZHJzL2Rvd25yZXYueG1sUEsFBgAAAAAEAAQA8wAAAP4E&#10;AAAAAA==&#10;" strokecolor="#156082 [3204]" strokeweight="1pt">
                <v:stroke joinstyle="miter"/>
              </v:line>
            </w:pict>
          </mc:Fallback>
        </mc:AlternateContent>
      </w:r>
    </w:p>
    <w:p w14:paraId="1031C189" w14:textId="77777777" w:rsidR="000818CE" w:rsidRPr="001607AE" w:rsidRDefault="000818CE" w:rsidP="000818CE">
      <w:pPr>
        <w:widowControl w:val="0"/>
        <w:jc w:val="center"/>
        <w:rPr>
          <w:color w:val="0D0D0D" w:themeColor="text1" w:themeTint="F2"/>
          <w:sz w:val="26"/>
          <w:szCs w:val="26"/>
          <w:lang w:val="vi-VN"/>
        </w:rPr>
      </w:pPr>
    </w:p>
    <w:p w14:paraId="5FDA5FD0" w14:textId="6BC96667" w:rsidR="000818CE" w:rsidRPr="001607AE" w:rsidRDefault="000818CE" w:rsidP="000818CE">
      <w:pPr>
        <w:widowControl w:val="0"/>
        <w:adjustRightInd w:val="0"/>
        <w:snapToGrid w:val="0"/>
        <w:spacing w:after="120"/>
        <w:ind w:firstLine="567"/>
        <w:jc w:val="both"/>
        <w:rPr>
          <w:color w:val="0D0D0D" w:themeColor="text1" w:themeTint="F2"/>
          <w:lang w:val="vi-VN"/>
        </w:rPr>
      </w:pPr>
      <w:r w:rsidRPr="001607AE">
        <w:rPr>
          <w:color w:val="0D0D0D" w:themeColor="text1" w:themeTint="F2"/>
          <w:lang w:val="vi-VN"/>
        </w:rPr>
        <w:t xml:space="preserve">Thực hiện quy định của </w:t>
      </w:r>
      <w:r w:rsidR="001607AE">
        <w:rPr>
          <w:color w:val="0D0D0D" w:themeColor="text1" w:themeTint="F2"/>
        </w:rPr>
        <w:t xml:space="preserve">Luật </w:t>
      </w:r>
      <w:r w:rsidRPr="001607AE">
        <w:rPr>
          <w:color w:val="0D0D0D" w:themeColor="text1" w:themeTint="F2"/>
          <w:lang w:val="vi-VN"/>
        </w:rPr>
        <w:t>Ban hành văn bản quy phạm pháp luật,</w:t>
      </w:r>
      <w:r w:rsidRPr="001607AE">
        <w:rPr>
          <w:color w:val="0D0D0D" w:themeColor="text1" w:themeTint="F2"/>
        </w:rPr>
        <w:t xml:space="preserve"> Sở Khoa học và Công nghệ</w:t>
      </w:r>
      <w:r w:rsidRPr="001607AE">
        <w:rPr>
          <w:color w:val="0D0D0D" w:themeColor="text1" w:themeTint="F2"/>
          <w:lang w:val="vi-VN"/>
        </w:rPr>
        <w:t xml:space="preserve">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w:t>
      </w:r>
      <w:r w:rsidRPr="001607AE">
        <w:rPr>
          <w:color w:val="0D0D0D" w:themeColor="text1" w:themeTint="F2"/>
        </w:rPr>
        <w:t xml:space="preserve"> </w:t>
      </w:r>
      <w:r w:rsidR="000265BD" w:rsidRPr="001607AE">
        <w:rPr>
          <w:color w:val="0D0D0D" w:themeColor="text1" w:themeTint="F2"/>
        </w:rPr>
        <w:t>Quy định</w:t>
      </w:r>
      <w:r w:rsidRPr="001607AE">
        <w:rPr>
          <w:color w:val="0D0D0D" w:themeColor="text1" w:themeTint="F2"/>
          <w:lang w:val="vi-VN"/>
        </w:rPr>
        <w:t xml:space="preserve"> quản lý chương trình, nhiệm vụ khoa học, công nghệ và đổi mới sáng tạo sử dụng ngân sách nhà nước </w:t>
      </w:r>
      <w:r w:rsidR="000265BD" w:rsidRPr="001607AE">
        <w:rPr>
          <w:color w:val="0D0D0D" w:themeColor="text1" w:themeTint="F2"/>
        </w:rPr>
        <w:t>tỉnh Lào Cai,</w:t>
      </w:r>
      <w:r w:rsidRPr="001607AE">
        <w:rPr>
          <w:color w:val="0D0D0D" w:themeColor="text1" w:themeTint="F2"/>
        </w:rPr>
        <w:t xml:space="preserve"> k</w:t>
      </w:r>
      <w:r w:rsidRPr="001607AE">
        <w:rPr>
          <w:color w:val="0D0D0D" w:themeColor="text1" w:themeTint="F2"/>
          <w:lang w:val="vi-VN"/>
        </w:rPr>
        <w:t>ết quả như sau:</w:t>
      </w:r>
    </w:p>
    <w:p w14:paraId="55531E19" w14:textId="77777777" w:rsidR="001E660E" w:rsidRPr="001607AE" w:rsidRDefault="001E660E" w:rsidP="001E660E">
      <w:pPr>
        <w:spacing w:before="120"/>
        <w:ind w:firstLine="567"/>
        <w:jc w:val="both"/>
        <w:rPr>
          <w:color w:val="0D0D0D" w:themeColor="text1" w:themeTint="F2"/>
          <w:lang w:val="vi-VN"/>
        </w:rPr>
      </w:pPr>
      <w:r w:rsidRPr="001607AE">
        <w:rPr>
          <w:b/>
          <w:bCs/>
          <w:color w:val="0D0D0D" w:themeColor="text1" w:themeTint="F2"/>
          <w:lang w:val="vi-VN"/>
        </w:rPr>
        <w:t>I. TỔ CHỨC THỰC HIỆN ĐÁNH GIÁ</w:t>
      </w:r>
    </w:p>
    <w:p w14:paraId="70B6909A" w14:textId="77777777" w:rsidR="001E660E" w:rsidRPr="001607AE" w:rsidRDefault="001E660E" w:rsidP="001E660E">
      <w:pPr>
        <w:spacing w:before="120"/>
        <w:ind w:firstLine="567"/>
        <w:jc w:val="both"/>
        <w:rPr>
          <w:b/>
          <w:bCs/>
          <w:color w:val="0D0D0D" w:themeColor="text1" w:themeTint="F2"/>
          <w:lang w:val="vi-VN"/>
        </w:rPr>
      </w:pPr>
      <w:r w:rsidRPr="001607AE">
        <w:rPr>
          <w:b/>
          <w:bCs/>
          <w:color w:val="0D0D0D" w:themeColor="text1" w:themeTint="F2"/>
          <w:lang w:val="vi-VN"/>
        </w:rPr>
        <w:t>1. Bối cảnh xây dựng dự thảo văn bản quy phạm pháp luật</w:t>
      </w:r>
    </w:p>
    <w:p w14:paraId="7E10CA9E" w14:textId="2BA27C71" w:rsidR="003B47A1" w:rsidRPr="001607AE" w:rsidRDefault="003B47A1" w:rsidP="003B47A1">
      <w:pPr>
        <w:widowControl w:val="0"/>
        <w:adjustRightInd w:val="0"/>
        <w:snapToGrid w:val="0"/>
        <w:spacing w:after="120"/>
        <w:ind w:firstLine="567"/>
        <w:jc w:val="both"/>
        <w:rPr>
          <w:color w:val="0D0D0D" w:themeColor="text1" w:themeTint="F2"/>
        </w:rPr>
      </w:pPr>
      <w:r w:rsidRPr="001607AE">
        <w:rPr>
          <w:color w:val="0D0D0D" w:themeColor="text1" w:themeTint="F2"/>
          <w:lang w:val="vi-VN"/>
        </w:rPr>
        <w:t xml:space="preserve">Việc xây dựng dự thảo </w:t>
      </w:r>
      <w:r w:rsidR="00587C58" w:rsidRPr="001607AE">
        <w:rPr>
          <w:color w:val="0D0D0D" w:themeColor="text1" w:themeTint="F2"/>
        </w:rPr>
        <w:t>Quy định</w:t>
      </w:r>
      <w:r w:rsidRPr="001607AE">
        <w:rPr>
          <w:color w:val="0D0D0D" w:themeColor="text1" w:themeTint="F2"/>
          <w:lang w:val="vi-VN"/>
        </w:rPr>
        <w:t xml:space="preserve"> diễn ra trong bối cảnh có nhiều thay đổi quan trọng về chính sách và pháp luật. Trung ương và </w:t>
      </w:r>
      <w:r w:rsidR="001D6696" w:rsidRPr="001607AE">
        <w:rPr>
          <w:color w:val="0D0D0D" w:themeColor="text1" w:themeTint="F2"/>
        </w:rPr>
        <w:t>Lào Cai</w:t>
      </w:r>
      <w:r w:rsidRPr="001607AE">
        <w:rPr>
          <w:color w:val="0D0D0D" w:themeColor="text1" w:themeTint="F2"/>
          <w:lang w:val="vi-VN"/>
        </w:rPr>
        <w:t xml:space="preserve"> đã đề ra các chủ trương lớn về khoa học, công nghệ và đổi mới sáng tạo, yêu cầu cải cách mạnh mẽ quản lý nhiệm vụ, đơn giản hóa thủ tục hành chính, phân cấp giao quyền tự chủ và chấp nhận rủi ro trong nghiên cứu. Đặc biệt, Nghị quyết số 57-NQ/TW ngày 24</w:t>
      </w:r>
      <w:r w:rsidRPr="001607AE">
        <w:rPr>
          <w:color w:val="0D0D0D" w:themeColor="text1" w:themeTint="F2"/>
        </w:rPr>
        <w:t xml:space="preserve"> tháng </w:t>
      </w:r>
      <w:r w:rsidRPr="001607AE">
        <w:rPr>
          <w:color w:val="0D0D0D" w:themeColor="text1" w:themeTint="F2"/>
          <w:lang w:val="vi-VN"/>
        </w:rPr>
        <w:t>12</w:t>
      </w:r>
      <w:r w:rsidRPr="001607AE">
        <w:rPr>
          <w:color w:val="0D0D0D" w:themeColor="text1" w:themeTint="F2"/>
        </w:rPr>
        <w:t xml:space="preserve"> năm </w:t>
      </w:r>
      <w:r w:rsidRPr="001607AE">
        <w:rPr>
          <w:color w:val="0D0D0D" w:themeColor="text1" w:themeTint="F2"/>
          <w:lang w:val="vi-VN"/>
        </w:rPr>
        <w:t xml:space="preserve">2024 của Bộ Chính trị và Nghị quyết Đại hội Đảng bộ </w:t>
      </w:r>
      <w:r w:rsidR="001D6696" w:rsidRPr="001607AE">
        <w:rPr>
          <w:color w:val="0D0D0D" w:themeColor="text1" w:themeTint="F2"/>
        </w:rPr>
        <w:t>tỉnh</w:t>
      </w:r>
      <w:r w:rsidRPr="001607AE">
        <w:rPr>
          <w:color w:val="0D0D0D" w:themeColor="text1" w:themeTint="F2"/>
        </w:rPr>
        <w:t xml:space="preserve"> lần thứ I nhiệm kỳ 2025-2030</w:t>
      </w:r>
      <w:r w:rsidRPr="001607AE">
        <w:rPr>
          <w:color w:val="0D0D0D" w:themeColor="text1" w:themeTint="F2"/>
          <w:lang w:val="vi-VN"/>
        </w:rPr>
        <w:t xml:space="preserve"> nhấn mạnh khoa học</w:t>
      </w:r>
      <w:r w:rsidR="00EE0ED5">
        <w:rPr>
          <w:color w:val="0D0D0D" w:themeColor="text1" w:themeTint="F2"/>
        </w:rPr>
        <w:t xml:space="preserve">, </w:t>
      </w:r>
      <w:r w:rsidRPr="001607AE">
        <w:rPr>
          <w:color w:val="0D0D0D" w:themeColor="text1" w:themeTint="F2"/>
          <w:lang w:val="vi-VN"/>
        </w:rPr>
        <w:t xml:space="preserve">công nghệ, đổi mới sáng tạo, </w:t>
      </w:r>
      <w:r w:rsidR="00EE0ED5">
        <w:rPr>
          <w:color w:val="0D0D0D" w:themeColor="text1" w:themeTint="F2"/>
        </w:rPr>
        <w:t xml:space="preserve">và </w:t>
      </w:r>
      <w:r w:rsidRPr="001607AE">
        <w:rPr>
          <w:color w:val="0D0D0D" w:themeColor="text1" w:themeTint="F2"/>
          <w:lang w:val="vi-VN"/>
        </w:rPr>
        <w:t>chuyển đổi số là động lực chủ yếu cho phát triển kinh tế - xã hội bền vững</w:t>
      </w:r>
      <w:r w:rsidRPr="001607AE">
        <w:rPr>
          <w:color w:val="0D0D0D" w:themeColor="text1" w:themeTint="F2"/>
        </w:rPr>
        <w:t>.</w:t>
      </w:r>
    </w:p>
    <w:p w14:paraId="01A2FF9B" w14:textId="24C78CA1" w:rsidR="003B47A1" w:rsidRPr="001607AE" w:rsidRDefault="003B47A1" w:rsidP="003A05C3">
      <w:pPr>
        <w:widowControl w:val="0"/>
        <w:adjustRightInd w:val="0"/>
        <w:snapToGrid w:val="0"/>
        <w:spacing w:after="120"/>
        <w:ind w:firstLine="567"/>
        <w:jc w:val="both"/>
        <w:rPr>
          <w:color w:val="0D0D0D" w:themeColor="text1" w:themeTint="F2"/>
        </w:rPr>
      </w:pPr>
      <w:r w:rsidRPr="001607AE">
        <w:rPr>
          <w:color w:val="0D0D0D" w:themeColor="text1" w:themeTint="F2"/>
          <w:lang w:val="vi-VN"/>
        </w:rPr>
        <w:t xml:space="preserve">Ngoài định hướng chính sách, khung pháp lý về lĩnh vực này cũng có sự thay đổi căn bản. Luật </w:t>
      </w:r>
      <w:r w:rsidR="008C7F0D" w:rsidRPr="001607AE">
        <w:rPr>
          <w:color w:val="0D0D0D" w:themeColor="text1" w:themeTint="F2"/>
        </w:rPr>
        <w:t>K</w:t>
      </w:r>
      <w:r w:rsidRPr="001607AE">
        <w:rPr>
          <w:color w:val="0D0D0D" w:themeColor="text1" w:themeTint="F2"/>
          <w:lang w:val="vi-VN"/>
        </w:rPr>
        <w:t xml:space="preserve">hoa học </w:t>
      </w:r>
      <w:r w:rsidR="008C7F0D" w:rsidRPr="001607AE">
        <w:rPr>
          <w:color w:val="0D0D0D" w:themeColor="text1" w:themeTint="F2"/>
        </w:rPr>
        <w:t>C</w:t>
      </w:r>
      <w:r w:rsidRPr="001607AE">
        <w:rPr>
          <w:color w:val="0D0D0D" w:themeColor="text1" w:themeTint="F2"/>
          <w:lang w:val="vi-VN"/>
        </w:rPr>
        <w:t xml:space="preserve">ông nghệ và </w:t>
      </w:r>
      <w:r w:rsidR="008C7F0D" w:rsidRPr="001607AE">
        <w:rPr>
          <w:color w:val="0D0D0D" w:themeColor="text1" w:themeTint="F2"/>
        </w:rPr>
        <w:t>Đ</w:t>
      </w:r>
      <w:r w:rsidRPr="001607AE">
        <w:rPr>
          <w:color w:val="0D0D0D" w:themeColor="text1" w:themeTint="F2"/>
          <w:lang w:val="vi-VN"/>
        </w:rPr>
        <w:t xml:space="preserve">ổi mới sáng tạo số 93/2025/QH15 (có hiệu lực từ 01/10/2025) và Nghị định số 267/2025/NĐ-CP, Nghị định số 268/2025/NĐ-CP đã được ban hành, mở rộng phạm vi điều chỉnh so với Luật Khoa học và Công nghệ </w:t>
      </w:r>
      <w:r w:rsidRPr="001607AE">
        <w:rPr>
          <w:color w:val="0D0D0D" w:themeColor="text1" w:themeTint="F2"/>
        </w:rPr>
        <w:t xml:space="preserve">năm </w:t>
      </w:r>
      <w:r w:rsidRPr="001607AE">
        <w:rPr>
          <w:color w:val="0D0D0D" w:themeColor="text1" w:themeTint="F2"/>
          <w:lang w:val="vi-VN"/>
        </w:rPr>
        <w:t>2013. Những văn bản mới trao thẩm quyền cho địa phương ban hành quy định chi tiết về trình tự, thủ tục quản lý chương trình, nhiệm vụ khoa học, công nghệ và đổi mới sáng tạo.</w:t>
      </w:r>
      <w:r w:rsidR="00EA743D" w:rsidRPr="001607AE">
        <w:rPr>
          <w:color w:val="0D0D0D" w:themeColor="text1" w:themeTint="F2"/>
        </w:rPr>
        <w:t xml:space="preserve"> Do đó việc ban hành một quy định mới</w:t>
      </w:r>
      <w:r w:rsidR="003A05C3" w:rsidRPr="001607AE">
        <w:rPr>
          <w:color w:val="0D0D0D" w:themeColor="text1" w:themeTint="F2"/>
        </w:rPr>
        <w:t xml:space="preserve"> là hết sức cần thiết. </w:t>
      </w:r>
    </w:p>
    <w:p w14:paraId="2E890AD6" w14:textId="758C1918" w:rsidR="003B47A1" w:rsidRPr="001607AE" w:rsidRDefault="003B47A1" w:rsidP="003B47A1">
      <w:pPr>
        <w:widowControl w:val="0"/>
        <w:adjustRightInd w:val="0"/>
        <w:snapToGrid w:val="0"/>
        <w:spacing w:after="120"/>
        <w:ind w:firstLine="567"/>
        <w:jc w:val="both"/>
        <w:rPr>
          <w:color w:val="0D0D0D" w:themeColor="text1" w:themeTint="F2"/>
        </w:rPr>
      </w:pPr>
      <w:r w:rsidRPr="001607AE">
        <w:rPr>
          <w:color w:val="0D0D0D" w:themeColor="text1" w:themeTint="F2"/>
          <w:lang w:val="vi-VN"/>
        </w:rPr>
        <w:t xml:space="preserve">Quy </w:t>
      </w:r>
      <w:r w:rsidR="003A05C3" w:rsidRPr="001607AE">
        <w:rPr>
          <w:color w:val="0D0D0D" w:themeColor="text1" w:themeTint="F2"/>
        </w:rPr>
        <w:t>định</w:t>
      </w:r>
      <w:r w:rsidRPr="001607AE">
        <w:rPr>
          <w:color w:val="0D0D0D" w:themeColor="text1" w:themeTint="F2"/>
          <w:lang w:val="vi-VN"/>
        </w:rPr>
        <w:t xml:space="preserve"> được soạn thảo trong bối cảnh yêu cầu đổi mới mạnh mẽ quản lý nhiệm vụ </w:t>
      </w:r>
      <w:r w:rsidRPr="001607AE">
        <w:rPr>
          <w:color w:val="0D0D0D" w:themeColor="text1" w:themeTint="F2"/>
        </w:rPr>
        <w:t>khoa học, công nghệ và đổi mới sáng tạo</w:t>
      </w:r>
      <w:r w:rsidRPr="001607AE">
        <w:rPr>
          <w:color w:val="0D0D0D" w:themeColor="text1" w:themeTint="F2"/>
          <w:lang w:val="vi-VN"/>
        </w:rPr>
        <w:t xml:space="preserve">, cập nhật khung pháp luật mới và đáp ứng tình hình thực tiễn của </w:t>
      </w:r>
      <w:r w:rsidR="009240FB" w:rsidRPr="001607AE">
        <w:rPr>
          <w:color w:val="0D0D0D" w:themeColor="text1" w:themeTint="F2"/>
        </w:rPr>
        <w:t>tỉnh</w:t>
      </w:r>
      <w:r w:rsidRPr="001607AE">
        <w:rPr>
          <w:color w:val="0D0D0D" w:themeColor="text1" w:themeTint="F2"/>
          <w:lang w:val="vi-VN"/>
        </w:rPr>
        <w:t xml:space="preserve">. Sở Khoa học và Công nghệ được giao chủ </w:t>
      </w:r>
      <w:r w:rsidRPr="001607AE">
        <w:rPr>
          <w:color w:val="0D0D0D" w:themeColor="text1" w:themeTint="F2"/>
          <w:lang w:val="vi-VN"/>
        </w:rPr>
        <w:lastRenderedPageBreak/>
        <w:t xml:space="preserve">trì soạn thảo theo chỉ đạo của </w:t>
      </w:r>
      <w:r w:rsidRPr="001607AE">
        <w:rPr>
          <w:color w:val="0D0D0D" w:themeColor="text1" w:themeTint="F2"/>
        </w:rPr>
        <w:t>Ủy ban nhân dân</w:t>
      </w:r>
      <w:r w:rsidRPr="001607AE">
        <w:rPr>
          <w:color w:val="0D0D0D" w:themeColor="text1" w:themeTint="F2"/>
          <w:lang w:val="vi-VN"/>
        </w:rPr>
        <w:t xml:space="preserve"> </w:t>
      </w:r>
      <w:r w:rsidR="009240FB" w:rsidRPr="001607AE">
        <w:rPr>
          <w:color w:val="0D0D0D" w:themeColor="text1" w:themeTint="F2"/>
        </w:rPr>
        <w:t>tỉnh</w:t>
      </w:r>
      <w:r w:rsidRPr="001607AE">
        <w:rPr>
          <w:color w:val="0D0D0D" w:themeColor="text1" w:themeTint="F2"/>
          <w:lang w:val="vi-VN"/>
        </w:rPr>
        <w:t xml:space="preserve"> (Công văn số </w:t>
      </w:r>
      <w:r w:rsidR="00A46677" w:rsidRPr="001607AE">
        <w:rPr>
          <w:color w:val="0D0D0D" w:themeColor="text1" w:themeTint="F2"/>
        </w:rPr>
        <w:t>2</w:t>
      </w:r>
      <w:r w:rsidR="009C7BA6" w:rsidRPr="001607AE">
        <w:rPr>
          <w:color w:val="0D0D0D" w:themeColor="text1" w:themeTint="F2"/>
        </w:rPr>
        <w:t>414</w:t>
      </w:r>
      <w:r w:rsidRPr="001607AE">
        <w:rPr>
          <w:color w:val="0D0D0D" w:themeColor="text1" w:themeTint="F2"/>
          <w:lang w:val="vi-VN"/>
        </w:rPr>
        <w:t>/UBND-</w:t>
      </w:r>
      <w:r w:rsidR="009C7BA6" w:rsidRPr="001607AE">
        <w:rPr>
          <w:color w:val="0D0D0D" w:themeColor="text1" w:themeTint="F2"/>
        </w:rPr>
        <w:t>NC</w:t>
      </w:r>
      <w:r w:rsidRPr="001607AE">
        <w:rPr>
          <w:color w:val="0D0D0D" w:themeColor="text1" w:themeTint="F2"/>
          <w:lang w:val="vi-VN"/>
        </w:rPr>
        <w:t xml:space="preserve"> ngày </w:t>
      </w:r>
      <w:r w:rsidR="009C7BA6" w:rsidRPr="001607AE">
        <w:rPr>
          <w:color w:val="0D0D0D" w:themeColor="text1" w:themeTint="F2"/>
        </w:rPr>
        <w:t>02/04/2026</w:t>
      </w:r>
      <w:r w:rsidRPr="001607AE">
        <w:rPr>
          <w:color w:val="0D0D0D" w:themeColor="text1" w:themeTint="F2"/>
          <w:lang w:val="vi-VN"/>
        </w:rPr>
        <w:t xml:space="preserve">). Quá trình xây dựng dự thảo tuân thủ Luật Ban hành </w:t>
      </w:r>
      <w:r w:rsidRPr="001607AE">
        <w:rPr>
          <w:color w:val="0D0D0D" w:themeColor="text1" w:themeTint="F2"/>
        </w:rPr>
        <w:t>Văn bản Quy phạm pháp luật</w:t>
      </w:r>
      <w:r w:rsidRPr="001607AE">
        <w:rPr>
          <w:color w:val="0D0D0D" w:themeColor="text1" w:themeTint="F2"/>
          <w:lang w:val="vi-VN"/>
        </w:rPr>
        <w:t xml:space="preserve">: đã tham vấn ý kiến các sở, ban ngành liên quan, lấy ý kiến phản biện xã hội qua Ủy ban Mặt trận Tổ quốc </w:t>
      </w:r>
      <w:r w:rsidR="007F0AA7" w:rsidRPr="001607AE">
        <w:rPr>
          <w:color w:val="0D0D0D" w:themeColor="text1" w:themeTint="F2"/>
        </w:rPr>
        <w:t>tỉnh</w:t>
      </w:r>
      <w:r w:rsidRPr="001607AE">
        <w:rPr>
          <w:color w:val="0D0D0D" w:themeColor="text1" w:themeTint="F2"/>
          <w:lang w:val="vi-VN"/>
        </w:rPr>
        <w:t xml:space="preserve"> và tiếp thu ý kiến thẩm định của Sở Tư pháp trước khi trình </w:t>
      </w:r>
      <w:r w:rsidRPr="001607AE">
        <w:rPr>
          <w:color w:val="0D0D0D" w:themeColor="text1" w:themeTint="F2"/>
        </w:rPr>
        <w:t>Ủy ban nhân dân</w:t>
      </w:r>
      <w:r w:rsidRPr="001607AE">
        <w:rPr>
          <w:color w:val="0D0D0D" w:themeColor="text1" w:themeTint="F2"/>
          <w:lang w:val="vi-VN"/>
        </w:rPr>
        <w:t xml:space="preserve"> </w:t>
      </w:r>
      <w:r w:rsidR="007F0AA7" w:rsidRPr="001607AE">
        <w:rPr>
          <w:color w:val="0D0D0D" w:themeColor="text1" w:themeTint="F2"/>
        </w:rPr>
        <w:t>tỉnh</w:t>
      </w:r>
      <w:r w:rsidRPr="001607AE">
        <w:rPr>
          <w:color w:val="0D0D0D" w:themeColor="text1" w:themeTint="F2"/>
          <w:lang w:val="vi-VN"/>
        </w:rPr>
        <w:t xml:space="preserve"> quyết định.</w:t>
      </w:r>
    </w:p>
    <w:p w14:paraId="65E6FA5A" w14:textId="77777777" w:rsidR="0081610B" w:rsidRPr="001607AE" w:rsidRDefault="0081610B" w:rsidP="0081610B">
      <w:pPr>
        <w:widowControl w:val="0"/>
        <w:adjustRightInd w:val="0"/>
        <w:snapToGrid w:val="0"/>
        <w:spacing w:after="120"/>
        <w:ind w:firstLine="567"/>
        <w:jc w:val="both"/>
        <w:rPr>
          <w:b/>
          <w:bCs/>
          <w:color w:val="0D0D0D" w:themeColor="text1" w:themeTint="F2"/>
          <w:lang w:val="vi-VN"/>
        </w:rPr>
      </w:pPr>
      <w:r w:rsidRPr="001607AE">
        <w:rPr>
          <w:b/>
          <w:bCs/>
          <w:color w:val="0D0D0D" w:themeColor="text1" w:themeTint="F2"/>
          <w:lang w:val="vi-VN"/>
        </w:rPr>
        <w:t>2. Mục đích, yêu cầu đánh giá</w:t>
      </w:r>
    </w:p>
    <w:p w14:paraId="691F3B30" w14:textId="01B50BCB" w:rsidR="0081610B" w:rsidRPr="001607AE" w:rsidRDefault="0081610B" w:rsidP="0081610B">
      <w:pPr>
        <w:widowControl w:val="0"/>
        <w:adjustRightInd w:val="0"/>
        <w:snapToGrid w:val="0"/>
        <w:spacing w:after="120"/>
        <w:ind w:firstLine="567"/>
        <w:jc w:val="both"/>
        <w:rPr>
          <w:color w:val="0D0D0D" w:themeColor="text1" w:themeTint="F2"/>
          <w:lang w:val="vi-VN"/>
        </w:rPr>
      </w:pPr>
      <w:r w:rsidRPr="001607AE">
        <w:rPr>
          <w:color w:val="0D0D0D" w:themeColor="text1" w:themeTint="F2"/>
          <w:lang w:val="vi-VN"/>
        </w:rPr>
        <w:t xml:space="preserve">Việc đánh giá được thực hiện nhằm bảo đảm dự thảo </w:t>
      </w:r>
      <w:r w:rsidRPr="001607AE">
        <w:rPr>
          <w:color w:val="0D0D0D" w:themeColor="text1" w:themeTint="F2"/>
        </w:rPr>
        <w:t>Quy định</w:t>
      </w:r>
      <w:r w:rsidRPr="001607AE">
        <w:rPr>
          <w:color w:val="0D0D0D" w:themeColor="text1" w:themeTint="F2"/>
          <w:lang w:val="vi-VN"/>
        </w:rPr>
        <w:t xml:space="preserve"> đáp ứng các yêu cầu đặt ra về tính hợp lý, hợp pháp, hiệu quả trên các phương diện cụ thể theo luật định. Cụ thể, cần xem xét dự thảo có đơn giản hóa thủ tục hành chính hay không, phân cấp, phân quyền hợp lý hay chưa, các quy định đề ra có thúc đẩy khoa học công nghệ, đổi mới sáng tạo và chuyển đổi số như mong muốn hay không, đồng thời không ảnh hưởng tiêu cực đến bình đẳng giới và chính sách dân tộc. Mục đích của đánh giá là nhận diện đầy đủ tác động của từng nội dung này, bảo đảm văn bản khi ban hành khả thi, phù hợp thực tiễn, không tạo gánh nặng không cần thiết cho người dân, tổ chức và thống nhất với chủ trương, quy định pháp luật hiện hành. Việc đánh giá tuân thủ quy định của Luật Ban hành Văn bản </w:t>
      </w:r>
      <w:r w:rsidR="001B7143" w:rsidRPr="001607AE">
        <w:rPr>
          <w:color w:val="0D0D0D" w:themeColor="text1" w:themeTint="F2"/>
        </w:rPr>
        <w:t>q</w:t>
      </w:r>
      <w:r w:rsidRPr="001607AE">
        <w:rPr>
          <w:color w:val="0D0D0D" w:themeColor="text1" w:themeTint="F2"/>
          <w:lang w:val="vi-VN"/>
        </w:rPr>
        <w:t>uy phạm pháp luật và hướng dẫn của Bộ Tư pháp, đảm bảo tính khách quan, toàn diện. Kết quả đánh giá sẽ làm cơ sở để hoàn thiện dự thảo trước khi trình cấp có thẩm quyền ban hành.</w:t>
      </w:r>
    </w:p>
    <w:p w14:paraId="0FF93574" w14:textId="77777777" w:rsidR="00FE71EA" w:rsidRPr="001607AE" w:rsidRDefault="00FE71EA" w:rsidP="00FE71EA">
      <w:pPr>
        <w:widowControl w:val="0"/>
        <w:adjustRightInd w:val="0"/>
        <w:snapToGrid w:val="0"/>
        <w:spacing w:after="120"/>
        <w:ind w:firstLine="567"/>
        <w:jc w:val="both"/>
        <w:rPr>
          <w:color w:val="0D0D0D" w:themeColor="text1" w:themeTint="F2"/>
          <w:lang w:val="vi-VN"/>
        </w:rPr>
      </w:pPr>
      <w:r w:rsidRPr="001607AE">
        <w:rPr>
          <w:b/>
          <w:bCs/>
          <w:color w:val="0D0D0D" w:themeColor="text1" w:themeTint="F2"/>
          <w:lang w:val="vi-VN"/>
        </w:rPr>
        <w:t>II. KẾT QUẢ ĐÁNH GIÁ</w:t>
      </w:r>
    </w:p>
    <w:p w14:paraId="0A32BAC3" w14:textId="77777777" w:rsidR="00720375" w:rsidRPr="001607AE" w:rsidRDefault="00FE71EA" w:rsidP="00720375">
      <w:pPr>
        <w:pStyle w:val="ListParagraph"/>
        <w:widowControl w:val="0"/>
        <w:numPr>
          <w:ilvl w:val="0"/>
          <w:numId w:val="6"/>
        </w:numPr>
        <w:adjustRightInd w:val="0"/>
        <w:snapToGrid w:val="0"/>
        <w:spacing w:after="120"/>
        <w:jc w:val="both"/>
        <w:rPr>
          <w:rFonts w:ascii="Times New Roman" w:hAnsi="Times New Roman" w:cs="Times New Roman"/>
          <w:b/>
          <w:bCs/>
          <w:color w:val="0D0D0D" w:themeColor="text1" w:themeTint="F2"/>
          <w:sz w:val="28"/>
          <w:szCs w:val="28"/>
        </w:rPr>
      </w:pPr>
      <w:bookmarkStart w:id="0" w:name="bookmark1160"/>
      <w:bookmarkStart w:id="1" w:name="bookmark1158"/>
      <w:bookmarkStart w:id="2" w:name="bookmark1159"/>
      <w:bookmarkStart w:id="3" w:name="bookmark1161"/>
      <w:bookmarkEnd w:id="0"/>
      <w:r w:rsidRPr="001607AE">
        <w:rPr>
          <w:rFonts w:ascii="Times New Roman" w:hAnsi="Times New Roman" w:cs="Times New Roman"/>
          <w:b/>
          <w:bCs/>
          <w:color w:val="0D0D0D" w:themeColor="text1" w:themeTint="F2"/>
          <w:sz w:val="28"/>
          <w:szCs w:val="28"/>
          <w:lang w:val="vi-VN"/>
        </w:rPr>
        <w:t>Đánh giá thủ tục hành chính</w:t>
      </w:r>
      <w:bookmarkEnd w:id="1"/>
      <w:bookmarkEnd w:id="2"/>
      <w:bookmarkEnd w:id="3"/>
    </w:p>
    <w:p w14:paraId="58F7FA3F" w14:textId="6E12A106" w:rsidR="00FE71EA" w:rsidRPr="001607AE" w:rsidRDefault="00720375" w:rsidP="007B5CC3">
      <w:pPr>
        <w:spacing w:before="120"/>
        <w:ind w:firstLine="567"/>
        <w:jc w:val="both"/>
        <w:rPr>
          <w:color w:val="0D0D0D" w:themeColor="text1" w:themeTint="F2"/>
        </w:rPr>
      </w:pPr>
      <w:r w:rsidRPr="001607AE">
        <w:rPr>
          <w:color w:val="0D0D0D" w:themeColor="text1" w:themeTint="F2"/>
          <w:lang w:val="vi-VN"/>
        </w:rPr>
        <w:t>Dự thảo văn bản không phát sinh quy định về thủ tục hành chính.</w:t>
      </w:r>
      <w:r w:rsidRPr="001607AE">
        <w:rPr>
          <w:color w:val="0D0D0D" w:themeColor="text1" w:themeTint="F2"/>
        </w:rPr>
        <w:t xml:space="preserve"> Đối với </w:t>
      </w:r>
      <w:bookmarkStart w:id="4" w:name="bookmark1162"/>
      <w:bookmarkEnd w:id="4"/>
      <w:r w:rsidR="000F0C87" w:rsidRPr="001607AE">
        <w:rPr>
          <w:color w:val="0D0D0D" w:themeColor="text1" w:themeTint="F2"/>
        </w:rPr>
        <w:t>t</w:t>
      </w:r>
      <w:r w:rsidR="00FE71EA" w:rsidRPr="001607AE">
        <w:rPr>
          <w:color w:val="0D0D0D" w:themeColor="text1" w:themeTint="F2"/>
        </w:rPr>
        <w:t>hủ tục xét tài trợ, đặt hàng nhiệm vụ khoa học, công nghệ và đổi mới</w:t>
      </w:r>
      <w:r w:rsidR="00826E45" w:rsidRPr="001607AE">
        <w:rPr>
          <w:b/>
          <w:bCs/>
          <w:color w:val="0D0D0D" w:themeColor="text1" w:themeTint="F2"/>
        </w:rPr>
        <w:t xml:space="preserve"> </w:t>
      </w:r>
      <w:r w:rsidR="00826E45" w:rsidRPr="001607AE">
        <w:rPr>
          <w:color w:val="0D0D0D" w:themeColor="text1" w:themeTint="F2"/>
        </w:rPr>
        <w:t xml:space="preserve">sáng tạo </w:t>
      </w:r>
      <w:r w:rsidR="000F0C87" w:rsidRPr="001607AE">
        <w:rPr>
          <w:color w:val="0D0D0D" w:themeColor="text1" w:themeTint="F2"/>
        </w:rPr>
        <w:t>và t</w:t>
      </w:r>
      <w:r w:rsidR="00FE71EA" w:rsidRPr="001607AE">
        <w:rPr>
          <w:color w:val="0D0D0D" w:themeColor="text1" w:themeTint="F2"/>
        </w:rPr>
        <w:t>hủ tục thực hiện điều chỉnh, chấm dứt thực hiện hợp đồng nhiệm vụ khoa học, công nghệ và đổi mới sáng tạo</w:t>
      </w:r>
      <w:r w:rsidR="000F0C87" w:rsidRPr="001607AE">
        <w:rPr>
          <w:color w:val="0D0D0D" w:themeColor="text1" w:themeTint="F2"/>
        </w:rPr>
        <w:t xml:space="preserve"> </w:t>
      </w:r>
      <w:r w:rsidR="00434881" w:rsidRPr="001607AE">
        <w:rPr>
          <w:color w:val="0D0D0D" w:themeColor="text1" w:themeTint="F2"/>
          <w:lang w:val="vi-VN"/>
        </w:rPr>
        <w:t>đã được Bộ Khoa học và Công nghệ công bố thủ tục hành chính.</w:t>
      </w:r>
    </w:p>
    <w:p w14:paraId="20B2EFE6" w14:textId="77777777" w:rsidR="00FE71EA" w:rsidRPr="001607AE" w:rsidRDefault="00FE71EA" w:rsidP="00FE71EA">
      <w:pPr>
        <w:widowControl w:val="0"/>
        <w:adjustRightInd w:val="0"/>
        <w:snapToGrid w:val="0"/>
        <w:spacing w:after="120"/>
        <w:ind w:firstLine="567"/>
        <w:jc w:val="both"/>
        <w:rPr>
          <w:b/>
          <w:bCs/>
          <w:color w:val="0D0D0D" w:themeColor="text1" w:themeTint="F2"/>
          <w:lang w:val="vi-VN"/>
        </w:rPr>
      </w:pPr>
      <w:bookmarkStart w:id="5" w:name="bookmark1164"/>
      <w:bookmarkEnd w:id="5"/>
      <w:r w:rsidRPr="001607AE">
        <w:rPr>
          <w:b/>
          <w:bCs/>
          <w:color w:val="0D0D0D" w:themeColor="text1" w:themeTint="F2"/>
          <w:lang w:val="vi-VN"/>
        </w:rPr>
        <w:t>2. Việc phân quyền, phân cấp (nếu trong dự thảo văn bản có quy định về phân quyền, phân cấp)</w:t>
      </w:r>
    </w:p>
    <w:p w14:paraId="0BAA1A5B" w14:textId="77777777" w:rsidR="00FE71EA" w:rsidRPr="001607AE" w:rsidRDefault="00FE71EA" w:rsidP="00FE71EA">
      <w:pPr>
        <w:widowControl w:val="0"/>
        <w:adjustRightInd w:val="0"/>
        <w:snapToGrid w:val="0"/>
        <w:spacing w:after="120"/>
        <w:ind w:firstLine="567"/>
        <w:jc w:val="both"/>
        <w:rPr>
          <w:color w:val="0D0D0D" w:themeColor="text1" w:themeTint="F2"/>
          <w:lang w:val="vi-VN"/>
        </w:rPr>
      </w:pPr>
      <w:r w:rsidRPr="001607AE">
        <w:rPr>
          <w:color w:val="0D0D0D" w:themeColor="text1" w:themeTint="F2"/>
        </w:rPr>
        <w:t xml:space="preserve">a) </w:t>
      </w:r>
      <w:r w:rsidRPr="001607AE">
        <w:rPr>
          <w:color w:val="0D0D0D" w:themeColor="text1" w:themeTint="F2"/>
          <w:lang w:val="vi-VN"/>
        </w:rPr>
        <w:t xml:space="preserve">Sự cần thiết của việc phân quyền, phân cấp: </w:t>
      </w:r>
    </w:p>
    <w:p w14:paraId="02C943D4" w14:textId="1A7CB748" w:rsidR="00FE71EA" w:rsidRPr="001607AE" w:rsidRDefault="00FE71EA" w:rsidP="00F9470D">
      <w:pPr>
        <w:widowControl w:val="0"/>
        <w:adjustRightInd w:val="0"/>
        <w:snapToGrid w:val="0"/>
        <w:spacing w:after="120"/>
        <w:ind w:firstLine="567"/>
        <w:jc w:val="both"/>
        <w:rPr>
          <w:color w:val="0D0D0D" w:themeColor="text1" w:themeTint="F2"/>
        </w:rPr>
      </w:pPr>
      <w:r w:rsidRPr="001607AE">
        <w:rPr>
          <w:color w:val="0D0D0D" w:themeColor="text1" w:themeTint="F2"/>
          <w:lang w:val="vi-VN"/>
        </w:rPr>
        <w:t xml:space="preserve">Dự thảo Quy </w:t>
      </w:r>
      <w:r w:rsidR="009F52C6" w:rsidRPr="001607AE">
        <w:rPr>
          <w:color w:val="0D0D0D" w:themeColor="text1" w:themeTint="F2"/>
        </w:rPr>
        <w:t>định</w:t>
      </w:r>
      <w:r w:rsidRPr="001607AE">
        <w:rPr>
          <w:color w:val="0D0D0D" w:themeColor="text1" w:themeTint="F2"/>
          <w:lang w:val="vi-VN"/>
        </w:rPr>
        <w:t xml:space="preserve"> đã bổ sung các quy định rõ ràng về phân cấp, phân quyền quản lý nhiệm vụ khoa học, công nghệ và đổi mới sáng tạo trên địa bàn </w:t>
      </w:r>
      <w:r w:rsidR="009F52C6" w:rsidRPr="001607AE">
        <w:rPr>
          <w:color w:val="0D0D0D" w:themeColor="text1" w:themeTint="F2"/>
        </w:rPr>
        <w:t>tỉnh</w:t>
      </w:r>
      <w:r w:rsidRPr="001607AE">
        <w:rPr>
          <w:color w:val="0D0D0D" w:themeColor="text1" w:themeTint="F2"/>
          <w:lang w:val="vi-VN"/>
        </w:rPr>
        <w:t xml:space="preserve">. Đây là nội dung cần thiết nhằm cụ thể hóa chủ trương giao quyền, nâng cao tính chủ động của cơ quan thực thi. Theo quy định pháp luật hiện hành, </w:t>
      </w:r>
      <w:r w:rsidRPr="001607AE">
        <w:rPr>
          <w:color w:val="0D0D0D" w:themeColor="text1" w:themeTint="F2"/>
        </w:rPr>
        <w:t>Ủy ban nhân dân</w:t>
      </w:r>
      <w:r w:rsidRPr="001607AE">
        <w:rPr>
          <w:color w:val="0D0D0D" w:themeColor="text1" w:themeTint="F2"/>
          <w:lang w:val="vi-VN"/>
        </w:rPr>
        <w:t xml:space="preserve"> cấp tỉnh được phép phân cấp cho cơ quan, tổ chức trực thuộc để quản lý hoạt động khoa học, công nghệ và đổi mới sáng tạo phù hợp </w:t>
      </w:r>
      <w:r w:rsidRPr="001607AE">
        <w:rPr>
          <w:color w:val="0D0D0D" w:themeColor="text1" w:themeTint="F2"/>
        </w:rPr>
        <w:t xml:space="preserve">quy định pháp luật và </w:t>
      </w:r>
      <w:r w:rsidRPr="001607AE">
        <w:rPr>
          <w:color w:val="0D0D0D" w:themeColor="text1" w:themeTint="F2"/>
          <w:lang w:val="vi-VN"/>
        </w:rPr>
        <w:t>yêu cầu thực tiễn.</w:t>
      </w:r>
    </w:p>
    <w:p w14:paraId="7E3BDE66" w14:textId="77777777" w:rsidR="00FE71EA" w:rsidRPr="001607AE" w:rsidRDefault="00FE71EA" w:rsidP="00FE71EA">
      <w:pPr>
        <w:widowControl w:val="0"/>
        <w:adjustRightInd w:val="0"/>
        <w:snapToGrid w:val="0"/>
        <w:spacing w:after="120"/>
        <w:ind w:firstLine="567"/>
        <w:jc w:val="both"/>
        <w:rPr>
          <w:color w:val="0D0D0D" w:themeColor="text1" w:themeTint="F2"/>
        </w:rPr>
      </w:pPr>
      <w:r w:rsidRPr="001607AE">
        <w:rPr>
          <w:color w:val="0D0D0D" w:themeColor="text1" w:themeTint="F2"/>
        </w:rPr>
        <w:t>b) Thẩm quyền và nội dung phân cấp:</w:t>
      </w:r>
    </w:p>
    <w:p w14:paraId="59CFECB6" w14:textId="51380B72" w:rsidR="00FE71EA" w:rsidRPr="001607AE" w:rsidRDefault="00FE71EA" w:rsidP="00FE71EA">
      <w:pPr>
        <w:widowControl w:val="0"/>
        <w:adjustRightInd w:val="0"/>
        <w:snapToGrid w:val="0"/>
        <w:spacing w:after="120"/>
        <w:ind w:firstLine="567"/>
        <w:jc w:val="both"/>
        <w:rPr>
          <w:color w:val="0D0D0D" w:themeColor="text1" w:themeTint="F2"/>
        </w:rPr>
      </w:pPr>
      <w:r w:rsidRPr="001607AE">
        <w:rPr>
          <w:color w:val="0D0D0D" w:themeColor="text1" w:themeTint="F2"/>
        </w:rPr>
        <w:t>Trong d</w:t>
      </w:r>
      <w:r w:rsidRPr="001607AE">
        <w:rPr>
          <w:color w:val="0D0D0D" w:themeColor="text1" w:themeTint="F2"/>
          <w:lang w:val="vi-VN"/>
        </w:rPr>
        <w:t xml:space="preserve">ự thảo </w:t>
      </w:r>
      <w:r w:rsidRPr="001607AE">
        <w:rPr>
          <w:color w:val="0D0D0D" w:themeColor="text1" w:themeTint="F2"/>
        </w:rPr>
        <w:t xml:space="preserve">quy định, Ủy ban nhân dân </w:t>
      </w:r>
      <w:r w:rsidR="000D7FA6" w:rsidRPr="001607AE">
        <w:rPr>
          <w:color w:val="0D0D0D" w:themeColor="text1" w:themeTint="F2"/>
        </w:rPr>
        <w:t>tỉnh</w:t>
      </w:r>
      <w:r w:rsidRPr="001607AE">
        <w:rPr>
          <w:color w:val="0D0D0D" w:themeColor="text1" w:themeTint="F2"/>
        </w:rPr>
        <w:t xml:space="preserve"> phân cấp cho Sở Khoa học và Công nghệ </w:t>
      </w:r>
      <w:r w:rsidR="000D7FA6" w:rsidRPr="001607AE">
        <w:rPr>
          <w:color w:val="0D0D0D" w:themeColor="text1" w:themeTint="F2"/>
        </w:rPr>
        <w:t>là cơ quan</w:t>
      </w:r>
      <w:r w:rsidRPr="001607AE">
        <w:rPr>
          <w:color w:val="0D0D0D" w:themeColor="text1" w:themeTint="F2"/>
        </w:rPr>
        <w:t xml:space="preserve"> quản lý nhiệm vụ khoa học, công nghệ và đổi mới sáng tạo. Cụ thể:</w:t>
      </w:r>
    </w:p>
    <w:p w14:paraId="64CBBBB7" w14:textId="30AAB75D" w:rsidR="007F7390" w:rsidRPr="001607AE" w:rsidRDefault="007F7390" w:rsidP="001D21D9">
      <w:pPr>
        <w:shd w:val="clear" w:color="auto" w:fill="FFFFFF"/>
        <w:spacing w:before="120"/>
        <w:ind w:firstLine="567"/>
        <w:jc w:val="both"/>
        <w:rPr>
          <w:bCs/>
          <w:color w:val="0D0D0D" w:themeColor="text1" w:themeTint="F2"/>
        </w:rPr>
      </w:pPr>
      <w:r w:rsidRPr="001607AE">
        <w:rPr>
          <w:color w:val="0D0D0D" w:themeColor="text1" w:themeTint="F2"/>
          <w:lang w:val="vi-VN"/>
        </w:rPr>
        <w:lastRenderedPageBreak/>
        <w:t xml:space="preserve">Uỷ ban nhân dân tỉnh phân cấp cho Sở Khoa học và Công nghệ là cơ quan quản lý </w:t>
      </w:r>
      <w:r w:rsidRPr="001607AE">
        <w:rPr>
          <w:bCs/>
          <w:color w:val="0D0D0D" w:themeColor="text1" w:themeTint="F2"/>
          <w:lang w:val="nl-NL"/>
        </w:rPr>
        <w:t xml:space="preserve">nhiệm vụ khoa học, công nghệ và đổi mới sáng tạo sử dụng ngân sách nhà nước trên địa bàn tỉnh Lào Cai </w:t>
      </w:r>
      <w:r w:rsidRPr="001607AE">
        <w:rPr>
          <w:bCs/>
          <w:color w:val="0D0D0D" w:themeColor="text1" w:themeTint="F2"/>
        </w:rPr>
        <w:t>theo quy định tại khoản 13 Điều 3 Nghị định 267/2025/NĐ-CP và khoản 9 Điều 3 Nghị định 268/2025/NĐ-CP</w:t>
      </w:r>
    </w:p>
    <w:p w14:paraId="23DCCD6E" w14:textId="303E4116" w:rsidR="00FE71EA" w:rsidRPr="001607AE" w:rsidRDefault="00FE71EA" w:rsidP="00FE71EA">
      <w:pPr>
        <w:widowControl w:val="0"/>
        <w:adjustRightInd w:val="0"/>
        <w:snapToGrid w:val="0"/>
        <w:spacing w:after="120"/>
        <w:ind w:firstLine="567"/>
        <w:jc w:val="both"/>
        <w:rPr>
          <w:color w:val="0D0D0D" w:themeColor="text1" w:themeTint="F2"/>
        </w:rPr>
      </w:pPr>
      <w:r w:rsidRPr="001607AE">
        <w:rPr>
          <w:color w:val="0D0D0D" w:themeColor="text1" w:themeTint="F2"/>
        </w:rPr>
        <w:t xml:space="preserve">Việc phân cấp cho </w:t>
      </w:r>
      <w:r w:rsidR="001D21D9" w:rsidRPr="001607AE">
        <w:rPr>
          <w:color w:val="0D0D0D" w:themeColor="text1" w:themeTint="F2"/>
        </w:rPr>
        <w:t>Sở Khoa học và Công nghệ tỉnh</w:t>
      </w:r>
      <w:r w:rsidRPr="001607AE">
        <w:rPr>
          <w:color w:val="0D0D0D" w:themeColor="text1" w:themeTint="F2"/>
        </w:rPr>
        <w:t xml:space="preserve"> </w:t>
      </w:r>
      <w:r w:rsidR="001D21D9" w:rsidRPr="001607AE">
        <w:rPr>
          <w:color w:val="0D0D0D" w:themeColor="text1" w:themeTint="F2"/>
        </w:rPr>
        <w:t>là cơ quan quản lý nhiệm vụ khoa học, công nghệ và đổi mới sáng tạo</w:t>
      </w:r>
      <w:r w:rsidRPr="001607AE">
        <w:rPr>
          <w:color w:val="0D0D0D" w:themeColor="text1" w:themeTint="F2"/>
        </w:rPr>
        <w:t xml:space="preserve"> dựa trên các cơ sở sau:</w:t>
      </w:r>
    </w:p>
    <w:p w14:paraId="42B1BCB8" w14:textId="77777777" w:rsidR="00FE71EA" w:rsidRPr="001607AE" w:rsidRDefault="00FE71EA" w:rsidP="00FE71EA">
      <w:pPr>
        <w:widowControl w:val="0"/>
        <w:adjustRightInd w:val="0"/>
        <w:snapToGrid w:val="0"/>
        <w:spacing w:after="120"/>
        <w:ind w:firstLine="567"/>
        <w:jc w:val="both"/>
        <w:rPr>
          <w:i/>
          <w:color w:val="0D0D0D" w:themeColor="text1" w:themeTint="F2"/>
        </w:rPr>
      </w:pPr>
      <w:r w:rsidRPr="001607AE">
        <w:rPr>
          <w:color w:val="0D0D0D" w:themeColor="text1" w:themeTint="F2"/>
        </w:rPr>
        <w:t>+ Khoản 13 Điều 3 Nghị định 267/2025/NĐ-CP "</w:t>
      </w:r>
      <w:r w:rsidRPr="001607AE">
        <w:rPr>
          <w:i/>
          <w:color w:val="0D0D0D" w:themeColor="text1" w:themeTint="F2"/>
        </w:rPr>
        <w:t>13. Cơ quan quản lý nhiệm vụ khoa học, công nghệ và đổi mới sáng tạo là bộ, cơ quan ngang bộ, cơ quan thuộc Chính phủ, cơ quan khác ở trung ương và Ủy ban nhân dân cấp tỉnh.</w:t>
      </w:r>
    </w:p>
    <w:p w14:paraId="37A1A401" w14:textId="77777777" w:rsidR="00FE71EA" w:rsidRPr="001607AE" w:rsidRDefault="00FE71EA" w:rsidP="00FE71EA">
      <w:pPr>
        <w:widowControl w:val="0"/>
        <w:adjustRightInd w:val="0"/>
        <w:snapToGrid w:val="0"/>
        <w:spacing w:after="120"/>
        <w:ind w:firstLine="567"/>
        <w:jc w:val="both"/>
        <w:rPr>
          <w:color w:val="0D0D0D" w:themeColor="text1" w:themeTint="F2"/>
        </w:rPr>
      </w:pPr>
      <w:r w:rsidRPr="001607AE">
        <w:rPr>
          <w:i/>
          <w:color w:val="0D0D0D" w:themeColor="text1" w:themeTint="F2"/>
        </w:rPr>
        <w:t>Trường hợp bộ, cơ quan ngang bộ và Ủy ban nhân dân cấp tỉnh phân cấp hoặc ủy quyền cho cơ quan, tổ chức trực thuộc quản lý hoạt động khoa học, công nghệ và đổi mới sáng tạo thì cơ quan, tổ chức này là cơ quan quản lý nhiệm vụ khoa học, công nghệ và đổi mới sáng tạo.</w:t>
      </w:r>
      <w:r w:rsidRPr="001607AE">
        <w:rPr>
          <w:color w:val="0D0D0D" w:themeColor="text1" w:themeTint="F2"/>
        </w:rPr>
        <w:t>"</w:t>
      </w:r>
    </w:p>
    <w:p w14:paraId="4F1D86F0" w14:textId="77777777" w:rsidR="00FE71EA" w:rsidRPr="001607AE" w:rsidRDefault="00FE71EA" w:rsidP="00FE71EA">
      <w:pPr>
        <w:widowControl w:val="0"/>
        <w:adjustRightInd w:val="0"/>
        <w:snapToGrid w:val="0"/>
        <w:spacing w:after="120"/>
        <w:ind w:firstLine="567"/>
        <w:jc w:val="both"/>
        <w:rPr>
          <w:color w:val="0D0D0D" w:themeColor="text1" w:themeTint="F2"/>
        </w:rPr>
      </w:pPr>
      <w:r w:rsidRPr="001607AE">
        <w:rPr>
          <w:color w:val="0D0D0D" w:themeColor="text1" w:themeTint="F2"/>
        </w:rPr>
        <w:t>+ Khoản 9 Điều 3 Nghi định 268/2025/NĐ-CP "</w:t>
      </w:r>
      <w:r w:rsidRPr="001607AE">
        <w:rPr>
          <w:i/>
          <w:color w:val="0D0D0D" w:themeColor="text1" w:themeTint="F2"/>
        </w:rPr>
        <w:t>9. Cơ quan quản lý nhiệm vụ đổi mới sáng tạo là bộ, cơ quan ngang bộ, cơ quan thuộc Chính phủ, cơ quan khác ở trung ương và Ủy ban nhân dân cấp tỉnh hoặc cơ quan, đơn vị được bộ, cơ quan ngang bộ, cơ quan thuộc Chính phủ, cơ quan khác ở trung ương và ủy ban nhân dân cấp tỉnh quy định thẩm quyền, phân cấp quản lý hoạt động khoa học, công nghệ và đổi mới sáng tạo."</w:t>
      </w:r>
    </w:p>
    <w:p w14:paraId="3ACE9774" w14:textId="77777777" w:rsidR="00FE71EA" w:rsidRPr="001607AE" w:rsidRDefault="00FE71EA" w:rsidP="00FE71EA">
      <w:pPr>
        <w:widowControl w:val="0"/>
        <w:adjustRightInd w:val="0"/>
        <w:snapToGrid w:val="0"/>
        <w:spacing w:after="120"/>
        <w:ind w:firstLine="567"/>
        <w:jc w:val="both"/>
        <w:rPr>
          <w:color w:val="0D0D0D" w:themeColor="text1" w:themeTint="F2"/>
        </w:rPr>
      </w:pPr>
      <w:r w:rsidRPr="001607AE">
        <w:rPr>
          <w:color w:val="0D0D0D" w:themeColor="text1" w:themeTint="F2"/>
        </w:rPr>
        <w:t xml:space="preserve">+ Khoản 1 Điều 7 Thông tư số 36/2025/TT-BKHCN </w:t>
      </w:r>
      <w:r w:rsidRPr="001607AE">
        <w:rPr>
          <w:i/>
          <w:color w:val="0D0D0D" w:themeColor="text1" w:themeTint="F2"/>
        </w:rPr>
        <w:t>“Theo yêu cầu quản lý, các bộ, cơ quan ngang bộ và Uỷ ban nhân dân cấp tỉnh chủ động phân cấp cho cơ quan, tổ chức trực thuộc để quản lý hoạt động khoa học, công nghệ và đổi mới sáng tạo theo quy định của Luật Tổ chức Chính phủ, Luật Tổ chức chính quyền địa phương”.</w:t>
      </w:r>
    </w:p>
    <w:p w14:paraId="4CA24CBA" w14:textId="313387BE" w:rsidR="00FE71EA" w:rsidRPr="001607AE" w:rsidRDefault="00FE71EA" w:rsidP="00FE71EA">
      <w:pPr>
        <w:widowControl w:val="0"/>
        <w:adjustRightInd w:val="0"/>
        <w:snapToGrid w:val="0"/>
        <w:spacing w:after="120"/>
        <w:ind w:firstLine="567"/>
        <w:jc w:val="both"/>
        <w:rPr>
          <w:i/>
          <w:color w:val="0D0D0D" w:themeColor="text1" w:themeTint="F2"/>
        </w:rPr>
      </w:pPr>
      <w:r w:rsidRPr="001607AE">
        <w:rPr>
          <w:color w:val="0D0D0D" w:themeColor="text1" w:themeTint="F2"/>
        </w:rPr>
        <w:t xml:space="preserve">Các cơ sở trên cũng phù hợp với quy định về thẩm quyền phân cấp của Ủy ban nhân dân </w:t>
      </w:r>
      <w:r w:rsidR="009B73EB" w:rsidRPr="001607AE">
        <w:rPr>
          <w:color w:val="0D0D0D" w:themeColor="text1" w:themeTint="F2"/>
        </w:rPr>
        <w:t>tỉnh</w:t>
      </w:r>
      <w:r w:rsidRPr="001607AE">
        <w:rPr>
          <w:color w:val="0D0D0D" w:themeColor="text1" w:themeTint="F2"/>
        </w:rPr>
        <w:t xml:space="preserve"> quy định tại khoản 1 Điều 13 Luật Tổ chức chính quyền địa phương năm 2025: “</w:t>
      </w:r>
      <w:r w:rsidRPr="001607AE">
        <w:rPr>
          <w:i/>
          <w:color w:val="0D0D0D" w:themeColor="text1" w:themeTint="F2"/>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353816B5" w14:textId="25F5C4D3" w:rsidR="00FE71EA" w:rsidRPr="001607AE" w:rsidRDefault="00FE71EA" w:rsidP="00FE71EA">
      <w:pPr>
        <w:widowControl w:val="0"/>
        <w:adjustRightInd w:val="0"/>
        <w:snapToGrid w:val="0"/>
        <w:spacing w:after="120"/>
        <w:ind w:firstLine="567"/>
        <w:jc w:val="both"/>
        <w:rPr>
          <w:color w:val="0D0D0D" w:themeColor="text1" w:themeTint="F2"/>
          <w:lang w:val="vi-VN"/>
        </w:rPr>
      </w:pPr>
      <w:r w:rsidRPr="001607AE">
        <w:rPr>
          <w:color w:val="0D0D0D" w:themeColor="text1" w:themeTint="F2"/>
          <w:lang w:val="vi-VN"/>
        </w:rPr>
        <w:t xml:space="preserve">Thực tiễn quản lý nhiệm vụ </w:t>
      </w:r>
      <w:r w:rsidRPr="001607AE">
        <w:rPr>
          <w:color w:val="0D0D0D" w:themeColor="text1" w:themeTint="F2"/>
        </w:rPr>
        <w:t>khoa học và công nghệ</w:t>
      </w:r>
      <w:r w:rsidRPr="001607AE">
        <w:rPr>
          <w:color w:val="0D0D0D" w:themeColor="text1" w:themeTint="F2"/>
          <w:lang w:val="vi-VN"/>
        </w:rPr>
        <w:t xml:space="preserve"> tại </w:t>
      </w:r>
      <w:r w:rsidR="005C3AFA" w:rsidRPr="001607AE">
        <w:rPr>
          <w:color w:val="0D0D0D" w:themeColor="text1" w:themeTint="F2"/>
        </w:rPr>
        <w:t>tỉnh</w:t>
      </w:r>
      <w:r w:rsidRPr="001607AE">
        <w:rPr>
          <w:color w:val="0D0D0D" w:themeColor="text1" w:themeTint="F2"/>
          <w:lang w:val="vi-VN"/>
        </w:rPr>
        <w:t xml:space="preserve"> thời gian qua cho thấy nhu cầu phải trao thẩm quyền quản lý, triển khai nhiệm vụ cho các đơn vị chuyên trách, nhằm giảm tải cho cơ quan quản lý nhà nước, đồng thời linh hoạt hơn trong tổ chức thực hiện nhiệm vụ. Do đó, dự thảo đưa ra phương án phân cấp phù hợp xu hướng quản trị hiện đại và quy định của pháp luật về tổ chức bộ máy.</w:t>
      </w:r>
    </w:p>
    <w:p w14:paraId="43CBE5FC" w14:textId="77777777" w:rsidR="00FE71EA" w:rsidRPr="001607AE" w:rsidRDefault="00FE71EA" w:rsidP="00FE71EA">
      <w:pPr>
        <w:widowControl w:val="0"/>
        <w:adjustRightInd w:val="0"/>
        <w:snapToGrid w:val="0"/>
        <w:spacing w:after="120"/>
        <w:ind w:firstLine="567"/>
        <w:jc w:val="both"/>
        <w:rPr>
          <w:color w:val="0D0D0D" w:themeColor="text1" w:themeTint="F2"/>
        </w:rPr>
      </w:pPr>
      <w:r w:rsidRPr="001607AE">
        <w:rPr>
          <w:color w:val="0D0D0D" w:themeColor="text1" w:themeTint="F2"/>
        </w:rPr>
        <w:t xml:space="preserve">c) Điều kiện bảo đảm thực hiện phân cấp: </w:t>
      </w:r>
    </w:p>
    <w:p w14:paraId="0042D249" w14:textId="63DEF8C7" w:rsidR="00FE71EA" w:rsidRPr="001607AE" w:rsidRDefault="00FE71EA" w:rsidP="0047466A">
      <w:pPr>
        <w:widowControl w:val="0"/>
        <w:adjustRightInd w:val="0"/>
        <w:snapToGrid w:val="0"/>
        <w:spacing w:after="120"/>
        <w:ind w:firstLine="567"/>
        <w:jc w:val="both"/>
        <w:rPr>
          <w:color w:val="0D0D0D" w:themeColor="text1" w:themeTint="F2"/>
        </w:rPr>
      </w:pPr>
      <w:r w:rsidRPr="001607AE">
        <w:rPr>
          <w:color w:val="0D0D0D" w:themeColor="text1" w:themeTint="F2"/>
        </w:rPr>
        <w:t xml:space="preserve">Việc phân cấp cho </w:t>
      </w:r>
      <w:r w:rsidR="00F10BCF" w:rsidRPr="001607AE">
        <w:rPr>
          <w:color w:val="0D0D0D" w:themeColor="text1" w:themeTint="F2"/>
        </w:rPr>
        <w:t xml:space="preserve">Sở Khoa học và Công nghệ dựa trên việc </w:t>
      </w:r>
      <w:r w:rsidR="00781E09" w:rsidRPr="001607AE">
        <w:rPr>
          <w:color w:val="0D0D0D" w:themeColor="text1" w:themeTint="F2"/>
        </w:rPr>
        <w:t xml:space="preserve">Sở là cơ quan chuyên môn </w:t>
      </w:r>
      <w:r w:rsidR="004538FA" w:rsidRPr="001607AE">
        <w:rPr>
          <w:color w:val="0D0D0D" w:themeColor="text1" w:themeTint="F2"/>
        </w:rPr>
        <w:t xml:space="preserve">tham mưa </w:t>
      </w:r>
      <w:r w:rsidR="00781E09" w:rsidRPr="001607AE">
        <w:rPr>
          <w:color w:val="0D0D0D" w:themeColor="text1" w:themeTint="F2"/>
        </w:rPr>
        <w:t>cho UBND tỉnh quản lý nhà nước về lĩnh vực khoa</w:t>
      </w:r>
      <w:r w:rsidR="004538FA" w:rsidRPr="001607AE">
        <w:rPr>
          <w:color w:val="0D0D0D" w:themeColor="text1" w:themeTint="F2"/>
        </w:rPr>
        <w:t xml:space="preserve"> học,</w:t>
      </w:r>
      <w:r w:rsidR="00781E09" w:rsidRPr="001607AE">
        <w:rPr>
          <w:color w:val="0D0D0D" w:themeColor="text1" w:themeTint="F2"/>
        </w:rPr>
        <w:t xml:space="preserve"> </w:t>
      </w:r>
      <w:r w:rsidR="00781E09" w:rsidRPr="001607AE">
        <w:rPr>
          <w:color w:val="0D0D0D" w:themeColor="text1" w:themeTint="F2"/>
        </w:rPr>
        <w:lastRenderedPageBreak/>
        <w:t>công nghệ</w:t>
      </w:r>
      <w:r w:rsidR="004538FA" w:rsidRPr="001607AE">
        <w:rPr>
          <w:color w:val="0D0D0D" w:themeColor="text1" w:themeTint="F2"/>
        </w:rPr>
        <w:t>, đổi mới sáng tạo và chuyển đổi số</w:t>
      </w:r>
      <w:r w:rsidR="00781E09" w:rsidRPr="001607AE">
        <w:rPr>
          <w:color w:val="0D0D0D" w:themeColor="text1" w:themeTint="F2"/>
        </w:rPr>
        <w:t xml:space="preserve"> trên địa bàn tỉnh. </w:t>
      </w:r>
      <w:r w:rsidR="004538FA" w:rsidRPr="001607AE">
        <w:rPr>
          <w:color w:val="0D0D0D" w:themeColor="text1" w:themeTint="F2"/>
        </w:rPr>
        <w:t xml:space="preserve">Sở </w:t>
      </w:r>
      <w:r w:rsidRPr="001607AE">
        <w:rPr>
          <w:color w:val="0D0D0D" w:themeColor="text1" w:themeTint="F2"/>
        </w:rPr>
        <w:t>có</w:t>
      </w:r>
      <w:r w:rsidR="00DF13F8" w:rsidRPr="001607AE">
        <w:rPr>
          <w:color w:val="0D0D0D" w:themeColor="text1" w:themeTint="F2"/>
        </w:rPr>
        <w:t xml:space="preserve"> </w:t>
      </w:r>
      <w:r w:rsidRPr="001607AE">
        <w:rPr>
          <w:color w:val="0D0D0D" w:themeColor="text1" w:themeTint="F2"/>
        </w:rPr>
        <w:t>bộ máy chuyên môn và nguồn lực tài chính để thực hiện nhiệm vụ được giao</w:t>
      </w:r>
      <w:r w:rsidR="006B25F0" w:rsidRPr="001607AE">
        <w:rPr>
          <w:color w:val="0D0D0D" w:themeColor="text1" w:themeTint="F2"/>
        </w:rPr>
        <w:t xml:space="preserve">. Đồng thời </w:t>
      </w:r>
      <w:r w:rsidR="005A2AC4" w:rsidRPr="001607AE">
        <w:rPr>
          <w:color w:val="0D0D0D" w:themeColor="text1" w:themeTint="F2"/>
        </w:rPr>
        <w:t>Sở đã có nhiều năm kinh nghiệm trong phân cấp</w:t>
      </w:r>
      <w:r w:rsidR="00AC1212" w:rsidRPr="001607AE">
        <w:rPr>
          <w:color w:val="0D0D0D" w:themeColor="text1" w:themeTint="F2"/>
        </w:rPr>
        <w:t>/ủy quyền</w:t>
      </w:r>
      <w:r w:rsidR="005A2AC4" w:rsidRPr="001607AE">
        <w:rPr>
          <w:color w:val="0D0D0D" w:themeColor="text1" w:themeTint="F2"/>
        </w:rPr>
        <w:t xml:space="preserve"> thực hiện quản lý nhiệm vụ khoa học và công nghệ</w:t>
      </w:r>
      <w:r w:rsidRPr="001607AE">
        <w:rPr>
          <w:color w:val="0D0D0D" w:themeColor="text1" w:themeTint="F2"/>
        </w:rPr>
        <w:t>. Đồng thời, Sở Khoa học và Công nghệ giữ vai trò đầu mối theo dõi, hướng dẫn về chuyên môn và tổng hợp chung. Như vậy, các điều kiện về nhân lực, quy chế phối hợp, báo cáo… đã được thiết lập, giúp việc phân quyền, phân cấp có thể triển khai hiệu quả trong thực tế.</w:t>
      </w:r>
    </w:p>
    <w:p w14:paraId="1E89F6EA" w14:textId="77777777" w:rsidR="00FE71EA" w:rsidRPr="001607AE" w:rsidRDefault="00FE71EA" w:rsidP="00FE71EA">
      <w:pPr>
        <w:widowControl w:val="0"/>
        <w:adjustRightInd w:val="0"/>
        <w:snapToGrid w:val="0"/>
        <w:spacing w:after="120"/>
        <w:ind w:firstLine="567"/>
        <w:jc w:val="both"/>
        <w:rPr>
          <w:color w:val="0D0D0D" w:themeColor="text1" w:themeTint="F2"/>
        </w:rPr>
      </w:pPr>
      <w:r w:rsidRPr="001607AE">
        <w:rPr>
          <w:color w:val="0D0D0D" w:themeColor="text1" w:themeTint="F2"/>
        </w:rPr>
        <w:t xml:space="preserve">d) Kiểm tra, giám sát sau phân cấp: </w:t>
      </w:r>
    </w:p>
    <w:p w14:paraId="1D6A054E" w14:textId="4EC0EDF8" w:rsidR="002117D7" w:rsidRPr="001607AE" w:rsidRDefault="002117D7" w:rsidP="003C5FF5">
      <w:pPr>
        <w:spacing w:before="120"/>
        <w:ind w:firstLine="567"/>
        <w:jc w:val="both"/>
        <w:rPr>
          <w:color w:val="0D0D0D" w:themeColor="text1" w:themeTint="F2"/>
        </w:rPr>
      </w:pPr>
      <w:r w:rsidRPr="001607AE">
        <w:rPr>
          <w:color w:val="0D0D0D" w:themeColor="text1" w:themeTint="F2"/>
          <w:lang w:val="nl-NL"/>
        </w:rPr>
        <w:t>V</w:t>
      </w:r>
      <w:r w:rsidRPr="001607AE">
        <w:rPr>
          <w:color w:val="0D0D0D" w:themeColor="text1" w:themeTint="F2"/>
          <w:lang w:val="vi-VN"/>
        </w:rPr>
        <w:t>iệc phân cấp</w:t>
      </w:r>
      <w:r w:rsidRPr="001607AE">
        <w:rPr>
          <w:color w:val="0D0D0D" w:themeColor="text1" w:themeTint="F2"/>
          <w:lang w:val="nl-NL"/>
        </w:rPr>
        <w:t xml:space="preserve"> đảm bảo đúng</w:t>
      </w:r>
      <w:r w:rsidRPr="001607AE">
        <w:rPr>
          <w:color w:val="0D0D0D" w:themeColor="text1" w:themeTint="F2"/>
          <w:lang w:val="vi-VN"/>
        </w:rPr>
        <w:t xml:space="preserve"> thẩm quyền phân cấp, nội dung phân cấp</w:t>
      </w:r>
      <w:r w:rsidRPr="001607AE">
        <w:rPr>
          <w:color w:val="0D0D0D" w:themeColor="text1" w:themeTint="F2"/>
          <w:lang w:val="nl-NL"/>
        </w:rPr>
        <w:t xml:space="preserve"> và Sở Khoa học và Công nghệ đủ</w:t>
      </w:r>
      <w:r w:rsidRPr="001607AE">
        <w:rPr>
          <w:color w:val="0D0D0D" w:themeColor="text1" w:themeTint="F2"/>
          <w:lang w:val="vi-VN"/>
        </w:rPr>
        <w:t xml:space="preserve"> điều kiện bảo đảm để thực hiện nội dung được phân cấp</w:t>
      </w:r>
      <w:r w:rsidRPr="001607AE">
        <w:rPr>
          <w:color w:val="0D0D0D" w:themeColor="text1" w:themeTint="F2"/>
          <w:lang w:val="nl-NL"/>
        </w:rPr>
        <w:t xml:space="preserve">, chịu trách nhiệm trước UBND tỉnh về nội dung được phân cấp và chịu sự </w:t>
      </w:r>
      <w:r w:rsidRPr="001607AE">
        <w:rPr>
          <w:color w:val="0D0D0D" w:themeColor="text1" w:themeTint="F2"/>
          <w:lang w:val="vi-VN"/>
        </w:rPr>
        <w:t>kiểm tra, giám sát</w:t>
      </w:r>
      <w:r w:rsidRPr="001607AE">
        <w:rPr>
          <w:color w:val="0D0D0D" w:themeColor="text1" w:themeTint="F2"/>
          <w:lang w:val="nl-NL"/>
        </w:rPr>
        <w:t xml:space="preserve">, báo cáo định kỳ hoặc đột xuất với UBND tỉnh </w:t>
      </w:r>
      <w:r w:rsidRPr="001607AE">
        <w:rPr>
          <w:color w:val="0D0D0D" w:themeColor="text1" w:themeTint="F2"/>
          <w:lang w:val="vi-VN"/>
        </w:rPr>
        <w:t>sau khi phân cấp.</w:t>
      </w:r>
    </w:p>
    <w:p w14:paraId="73D1F476" w14:textId="7B175F39" w:rsidR="00FE71EA" w:rsidRPr="001607AE" w:rsidRDefault="00FE71EA" w:rsidP="00FE71EA">
      <w:pPr>
        <w:widowControl w:val="0"/>
        <w:adjustRightInd w:val="0"/>
        <w:snapToGrid w:val="0"/>
        <w:spacing w:after="120"/>
        <w:ind w:firstLine="567"/>
        <w:jc w:val="both"/>
        <w:rPr>
          <w:color w:val="0D0D0D" w:themeColor="text1" w:themeTint="F2"/>
          <w:lang w:val="vi-VN"/>
        </w:rPr>
      </w:pPr>
      <w:r w:rsidRPr="001607AE">
        <w:rPr>
          <w:b/>
          <w:bCs/>
          <w:color w:val="0D0D0D" w:themeColor="text1" w:themeTint="F2"/>
          <w:lang w:val="vi-VN"/>
        </w:rP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14:paraId="589C48E1" w14:textId="77777777" w:rsidR="00FE71EA" w:rsidRPr="001607AE" w:rsidRDefault="00FE71EA" w:rsidP="00FE71EA">
      <w:pPr>
        <w:widowControl w:val="0"/>
        <w:adjustRightInd w:val="0"/>
        <w:snapToGrid w:val="0"/>
        <w:spacing w:after="120"/>
        <w:ind w:firstLine="567"/>
        <w:jc w:val="both"/>
        <w:rPr>
          <w:bCs/>
          <w:color w:val="0D0D0D" w:themeColor="text1" w:themeTint="F2"/>
          <w:lang w:val="vi-VN"/>
        </w:rPr>
      </w:pPr>
      <w:bookmarkStart w:id="6" w:name="bookmark1168"/>
      <w:bookmarkStart w:id="7" w:name="bookmark1166"/>
      <w:bookmarkStart w:id="8" w:name="bookmark1167"/>
      <w:bookmarkStart w:id="9" w:name="bookmark1169"/>
      <w:bookmarkEnd w:id="6"/>
      <w:r w:rsidRPr="001607AE">
        <w:rPr>
          <w:bCs/>
          <w:color w:val="0D0D0D" w:themeColor="text1" w:themeTint="F2"/>
        </w:rPr>
        <w:t xml:space="preserve">a) </w:t>
      </w:r>
      <w:r w:rsidRPr="001607AE">
        <w:rPr>
          <w:bCs/>
          <w:color w:val="0D0D0D" w:themeColor="text1" w:themeTint="F2"/>
          <w:lang w:val="vi-VN"/>
        </w:rPr>
        <w:t>Tạo thuận lợi cho ứng dụng khoa học, công nghệ và đổi mới sáng tạo</w:t>
      </w:r>
    </w:p>
    <w:p w14:paraId="7EA4BCDF" w14:textId="0BDF5DA4" w:rsidR="00FE71EA" w:rsidRPr="001607AE" w:rsidRDefault="00FE71EA" w:rsidP="00FE71EA">
      <w:pPr>
        <w:widowControl w:val="0"/>
        <w:adjustRightInd w:val="0"/>
        <w:snapToGrid w:val="0"/>
        <w:spacing w:after="120"/>
        <w:ind w:firstLine="567"/>
        <w:jc w:val="both"/>
        <w:rPr>
          <w:bCs/>
          <w:color w:val="0D0D0D" w:themeColor="text1" w:themeTint="F2"/>
          <w:lang w:val="vi-VN"/>
        </w:rPr>
      </w:pPr>
      <w:r w:rsidRPr="001607AE">
        <w:rPr>
          <w:bCs/>
          <w:color w:val="0D0D0D" w:themeColor="text1" w:themeTint="F2"/>
          <w:lang w:val="vi-VN"/>
        </w:rPr>
        <w:t xml:space="preserve">Việc ban hành Quy </w:t>
      </w:r>
      <w:r w:rsidR="00A924A8" w:rsidRPr="001607AE">
        <w:rPr>
          <w:bCs/>
          <w:color w:val="0D0D0D" w:themeColor="text1" w:themeTint="F2"/>
        </w:rPr>
        <w:t>định</w:t>
      </w:r>
      <w:r w:rsidRPr="001607AE">
        <w:rPr>
          <w:bCs/>
          <w:color w:val="0D0D0D" w:themeColor="text1" w:themeTint="F2"/>
          <w:lang w:val="vi-VN"/>
        </w:rPr>
        <w:t xml:space="preserve"> là một giải pháp thể chế quan trọng, tạo khuôn khổ pháp lý đồng bộ nhằm thúc đẩy phát triển khoa học, công nghệ và đổi mới sáng tạo trên địa bàn </w:t>
      </w:r>
      <w:r w:rsidR="00A924A8" w:rsidRPr="001607AE">
        <w:rPr>
          <w:bCs/>
          <w:color w:val="0D0D0D" w:themeColor="text1" w:themeTint="F2"/>
        </w:rPr>
        <w:t>tỉnh</w:t>
      </w:r>
      <w:r w:rsidRPr="001607AE">
        <w:rPr>
          <w:bCs/>
          <w:color w:val="0D0D0D" w:themeColor="text1" w:themeTint="F2"/>
          <w:lang w:val="vi-VN"/>
        </w:rPr>
        <w:t xml:space="preserve">. Dự thảo Quy </w:t>
      </w:r>
      <w:r w:rsidR="00A924A8" w:rsidRPr="001607AE">
        <w:rPr>
          <w:bCs/>
          <w:color w:val="0D0D0D" w:themeColor="text1" w:themeTint="F2"/>
        </w:rPr>
        <w:t>định</w:t>
      </w:r>
      <w:r w:rsidRPr="001607AE">
        <w:rPr>
          <w:bCs/>
          <w:color w:val="0D0D0D" w:themeColor="text1" w:themeTint="F2"/>
          <w:lang w:val="vi-VN"/>
        </w:rPr>
        <w:t xml:space="preserve"> được xây dựng theo quan điểm tạo điều kiện thuận lợi cho các tổ chức, cá nhân tham gia hoạt động nghiên cứu khoa học, thúc đẩy đổi mới sáng tạo, đưa khoa học và công nghệ trở thành động lực then chốt cho phát triển kinh tế </w:t>
      </w:r>
      <w:r w:rsidRPr="001607AE">
        <w:rPr>
          <w:bCs/>
          <w:color w:val="0D0D0D" w:themeColor="text1" w:themeTint="F2"/>
        </w:rPr>
        <w:t>-</w:t>
      </w:r>
      <w:r w:rsidRPr="001607AE">
        <w:rPr>
          <w:bCs/>
          <w:color w:val="0D0D0D" w:themeColor="text1" w:themeTint="F2"/>
          <w:lang w:val="vi-VN"/>
        </w:rPr>
        <w:t xml:space="preserve"> xã hội của </w:t>
      </w:r>
      <w:r w:rsidR="00A924A8" w:rsidRPr="001607AE">
        <w:rPr>
          <w:bCs/>
          <w:color w:val="0D0D0D" w:themeColor="text1" w:themeTint="F2"/>
        </w:rPr>
        <w:t>tỉnh</w:t>
      </w:r>
      <w:r w:rsidRPr="001607AE">
        <w:rPr>
          <w:bCs/>
          <w:color w:val="0D0D0D" w:themeColor="text1" w:themeTint="F2"/>
          <w:lang w:val="vi-VN"/>
        </w:rPr>
        <w:t>.</w:t>
      </w:r>
    </w:p>
    <w:p w14:paraId="10EEAEC0" w14:textId="21FE4BC5" w:rsidR="00FE71EA" w:rsidRPr="001607AE" w:rsidRDefault="00FE71EA" w:rsidP="00FE71EA">
      <w:pPr>
        <w:widowControl w:val="0"/>
        <w:adjustRightInd w:val="0"/>
        <w:snapToGrid w:val="0"/>
        <w:spacing w:after="120"/>
        <w:ind w:firstLine="567"/>
        <w:jc w:val="both"/>
        <w:rPr>
          <w:bCs/>
          <w:color w:val="0D0D0D" w:themeColor="text1" w:themeTint="F2"/>
          <w:lang w:val="vi-VN"/>
        </w:rPr>
      </w:pPr>
      <w:r w:rsidRPr="001607AE">
        <w:rPr>
          <w:bCs/>
          <w:color w:val="0D0D0D" w:themeColor="text1" w:themeTint="F2"/>
          <w:lang w:val="vi-VN"/>
        </w:rPr>
        <w:t xml:space="preserve">Để hiện thực hóa mục tiêu này, dự thảo Quy </w:t>
      </w:r>
      <w:r w:rsidR="00A94058" w:rsidRPr="001607AE">
        <w:rPr>
          <w:bCs/>
          <w:color w:val="0D0D0D" w:themeColor="text1" w:themeTint="F2"/>
        </w:rPr>
        <w:t>định</w:t>
      </w:r>
      <w:r w:rsidRPr="001607AE">
        <w:rPr>
          <w:bCs/>
          <w:color w:val="0D0D0D" w:themeColor="text1" w:themeTint="F2"/>
          <w:lang w:val="vi-VN"/>
        </w:rPr>
        <w:t xml:space="preserve"> đã đơn giản hóa thủ tục hành chính, minh bạch tiêu chí xét chọn nhiệm vụ, mở rộng phạm vi nhiệm vụ từ nghiên cứu khoa học và phát triển công nghệ sang cả nhiệm vụ đổi mới sáng tạo, qua đó tạo điều kiện để doanh nghiệp, tổ chức khởi nghiệp và các chủ thể ngoài khu vực nhà nước tham gia, tiếp cận nguồn hỗ trợ từ ngân sách nhà nước. Cách tiếp cận này phù hợp với chủ trương khuyến khích hoạt động khoa học, công nghệ và đổi mới sáng tạo trong doanh nghiệp theo Nghị định số 268/2025/NĐ-CP, đáp ứng yêu cầu thực tiễn về đổi mới sáng tạo trong mọi ngành, lĩnh vực.</w:t>
      </w:r>
    </w:p>
    <w:p w14:paraId="2FB2B96B" w14:textId="696D09B6" w:rsidR="00FE71EA" w:rsidRPr="001607AE" w:rsidRDefault="00FE71EA" w:rsidP="00FE71EA">
      <w:pPr>
        <w:widowControl w:val="0"/>
        <w:adjustRightInd w:val="0"/>
        <w:snapToGrid w:val="0"/>
        <w:spacing w:after="120"/>
        <w:ind w:firstLine="567"/>
        <w:jc w:val="both"/>
        <w:rPr>
          <w:bCs/>
          <w:color w:val="0D0D0D" w:themeColor="text1" w:themeTint="F2"/>
          <w:lang w:val="vi-VN"/>
        </w:rPr>
      </w:pPr>
      <w:r w:rsidRPr="001607AE">
        <w:rPr>
          <w:bCs/>
          <w:color w:val="0D0D0D" w:themeColor="text1" w:themeTint="F2"/>
        </w:rPr>
        <w:t xml:space="preserve">b) </w:t>
      </w:r>
      <w:r w:rsidRPr="001607AE">
        <w:rPr>
          <w:bCs/>
          <w:color w:val="0D0D0D" w:themeColor="text1" w:themeTint="F2"/>
          <w:lang w:val="vi-VN"/>
        </w:rPr>
        <w:t xml:space="preserve">Về yêu cầu thể chế, hạ tầng, nhân lực và an toàn thông tin, dự thảo Quy </w:t>
      </w:r>
      <w:r w:rsidR="00D75E8D" w:rsidRPr="001607AE">
        <w:rPr>
          <w:bCs/>
          <w:color w:val="0D0D0D" w:themeColor="text1" w:themeTint="F2"/>
        </w:rPr>
        <w:t xml:space="preserve">định </w:t>
      </w:r>
      <w:r w:rsidRPr="001607AE">
        <w:rPr>
          <w:bCs/>
          <w:color w:val="0D0D0D" w:themeColor="text1" w:themeTint="F2"/>
          <w:lang w:val="vi-VN"/>
        </w:rPr>
        <w:t>ban hành khung quy định rõ ràng, thống nhất, tạo nền tảng pháp lý ổn định cho việc triển khai các chương trình, nhiệm vụ khoa học, công nghệ và đổi mới sáng tạo. Việc quản lý, cập nhật và khai thác thông tin nhiệm vụ thông qua Hệ thống thông tin quốc gia về khoa học, công nghệ và đổi mới sáng tạo góp phần đẩy mạnh chuyển đổi số trong quản lý nhà nước, nâng cao hiệu quả lưu trữ, chia sẻ thông tin và bảo đảm an toàn, bảo mật dữ liệu. Đồng thời, quy định về thành lập các hội đồng tư vấn, tổ chuyên gia và trách nhiệm của cơ quan chủ trì nhiệm vụ góp phần nâng cao chất lượng chuyên môn, năng lực tổ chức thực hiện và phát triển nguồn nhân lực khoa học, công nghệ.</w:t>
      </w:r>
    </w:p>
    <w:p w14:paraId="76800427" w14:textId="54B07382" w:rsidR="00FE71EA" w:rsidRPr="001607AE" w:rsidRDefault="00FE71EA" w:rsidP="00FE71EA">
      <w:pPr>
        <w:widowControl w:val="0"/>
        <w:adjustRightInd w:val="0"/>
        <w:snapToGrid w:val="0"/>
        <w:spacing w:after="120"/>
        <w:ind w:firstLine="567"/>
        <w:jc w:val="both"/>
        <w:rPr>
          <w:bCs/>
          <w:color w:val="0D0D0D" w:themeColor="text1" w:themeTint="F2"/>
          <w:lang w:val="vi-VN"/>
        </w:rPr>
      </w:pPr>
      <w:r w:rsidRPr="001607AE">
        <w:rPr>
          <w:bCs/>
          <w:color w:val="0D0D0D" w:themeColor="text1" w:themeTint="F2"/>
        </w:rPr>
        <w:lastRenderedPageBreak/>
        <w:t xml:space="preserve">c) </w:t>
      </w:r>
      <w:r w:rsidRPr="001607AE">
        <w:rPr>
          <w:bCs/>
          <w:color w:val="0D0D0D" w:themeColor="text1" w:themeTint="F2"/>
          <w:lang w:val="vi-VN"/>
        </w:rPr>
        <w:t xml:space="preserve">Về nội dung thúc đẩy khoa học, công nghệ, đổi mới sáng tạo và chuyển đổi số, dự thảo Quy </w:t>
      </w:r>
      <w:r w:rsidR="00DC0F33" w:rsidRPr="001607AE">
        <w:rPr>
          <w:bCs/>
          <w:color w:val="0D0D0D" w:themeColor="text1" w:themeTint="F2"/>
        </w:rPr>
        <w:t>định</w:t>
      </w:r>
      <w:r w:rsidRPr="001607AE">
        <w:rPr>
          <w:bCs/>
          <w:color w:val="0D0D0D" w:themeColor="text1" w:themeTint="F2"/>
          <w:lang w:val="vi-VN"/>
        </w:rPr>
        <w:t xml:space="preserve"> đã bổ sung cơ chế quản trị rủi ro trong quá trình thực hiện nhiệm vụ, cho phép chấp nhận rủi ro có kiểm soát đối với các nhiệm vụ nghiên cứu có tính đột phá, phù hợp với tinh thần Nghị quyết số 57-NQ/TW. Bên cạnh đó, quy định về đánh giá tác động của kết quả thực hiện nhiệm vụ sau </w:t>
      </w:r>
      <w:r w:rsidR="00C65FC7" w:rsidRPr="001607AE">
        <w:rPr>
          <w:bCs/>
          <w:color w:val="0D0D0D" w:themeColor="text1" w:themeTint="F2"/>
        </w:rPr>
        <w:t>0</w:t>
      </w:r>
      <w:r w:rsidRPr="001607AE">
        <w:rPr>
          <w:bCs/>
          <w:color w:val="0D0D0D" w:themeColor="text1" w:themeTint="F2"/>
          <w:lang w:val="vi-VN"/>
        </w:rPr>
        <w:t xml:space="preserve">2 đến </w:t>
      </w:r>
      <w:r w:rsidR="00C65FC7" w:rsidRPr="001607AE">
        <w:rPr>
          <w:bCs/>
          <w:color w:val="0D0D0D" w:themeColor="text1" w:themeTint="F2"/>
        </w:rPr>
        <w:t>0</w:t>
      </w:r>
      <w:r w:rsidRPr="001607AE">
        <w:rPr>
          <w:bCs/>
          <w:color w:val="0D0D0D" w:themeColor="text1" w:themeTint="F2"/>
          <w:lang w:val="vi-VN"/>
        </w:rPr>
        <w:t>5 năm góp phần nâng cao tính ứng dụng, hiệu quả và khả năng thương mại hóa kết quả nghiên cứu. Dự thảo cũng khuyến khích huy động nguồn lực xã hội tham gia đầu tư cho khoa học, công nghệ và đổi mới sáng tạo thông qua cơ chế đồng tài trợ, tăng cường sự tham gia của doanh nghiệp và tổ chức ngoài nhà nước.</w:t>
      </w:r>
    </w:p>
    <w:p w14:paraId="282C348B" w14:textId="05A5AA86" w:rsidR="00FE71EA" w:rsidRPr="001607AE" w:rsidRDefault="00FE71EA" w:rsidP="00FE71EA">
      <w:pPr>
        <w:widowControl w:val="0"/>
        <w:adjustRightInd w:val="0"/>
        <w:snapToGrid w:val="0"/>
        <w:spacing w:after="120"/>
        <w:ind w:firstLine="567"/>
        <w:jc w:val="both"/>
        <w:rPr>
          <w:bCs/>
          <w:color w:val="0D0D0D" w:themeColor="text1" w:themeTint="F2"/>
          <w:lang w:val="vi-VN"/>
        </w:rPr>
      </w:pPr>
      <w:r w:rsidRPr="001607AE">
        <w:rPr>
          <w:bCs/>
          <w:color w:val="0D0D0D" w:themeColor="text1" w:themeTint="F2"/>
        </w:rPr>
        <w:t xml:space="preserve">d) </w:t>
      </w:r>
      <w:r w:rsidRPr="001607AE">
        <w:rPr>
          <w:bCs/>
          <w:color w:val="0D0D0D" w:themeColor="text1" w:themeTint="F2"/>
          <w:lang w:val="vi-VN"/>
        </w:rPr>
        <w:t xml:space="preserve">Về tổ chức thực hiện và nguồn lực, dự thảo Quy </w:t>
      </w:r>
      <w:r w:rsidR="00C65FC7" w:rsidRPr="001607AE">
        <w:rPr>
          <w:bCs/>
          <w:color w:val="0D0D0D" w:themeColor="text1" w:themeTint="F2"/>
        </w:rPr>
        <w:t>định</w:t>
      </w:r>
      <w:r w:rsidRPr="001607AE">
        <w:rPr>
          <w:bCs/>
          <w:color w:val="0D0D0D" w:themeColor="text1" w:themeTint="F2"/>
          <w:lang w:val="vi-VN"/>
        </w:rPr>
        <w:t xml:space="preserve"> đã quy định rõ nguyên tắc bảo đảm kinh phí cho các chương trình, nhiệm vụ từ ngân sách nhà nước, đồng thời xác định trách nhiệm phối hợp giữa Sở Khoa học và Công nghệ</w:t>
      </w:r>
      <w:r w:rsidR="00856313" w:rsidRPr="001607AE">
        <w:rPr>
          <w:bCs/>
          <w:color w:val="0D0D0D" w:themeColor="text1" w:themeTint="F2"/>
        </w:rPr>
        <w:t xml:space="preserve">, </w:t>
      </w:r>
      <w:r w:rsidRPr="001607AE">
        <w:rPr>
          <w:bCs/>
          <w:color w:val="0D0D0D" w:themeColor="text1" w:themeTint="F2"/>
          <w:lang w:val="vi-VN"/>
        </w:rPr>
        <w:t xml:space="preserve">Sở Tài chính và các sở, ngành, địa phương có liên quan. Việc triển khai hiệu quả Quy </w:t>
      </w:r>
      <w:r w:rsidR="00856313" w:rsidRPr="001607AE">
        <w:rPr>
          <w:bCs/>
          <w:color w:val="0D0D0D" w:themeColor="text1" w:themeTint="F2"/>
        </w:rPr>
        <w:t xml:space="preserve">định </w:t>
      </w:r>
      <w:r w:rsidRPr="001607AE">
        <w:rPr>
          <w:bCs/>
          <w:color w:val="0D0D0D" w:themeColor="text1" w:themeTint="F2"/>
          <w:lang w:val="vi-VN"/>
        </w:rPr>
        <w:t>còn gắn với công tác thông tin, tuyên truyền, hướng dẫn và tập huấn để các tổ chức, cá nhân nắm bắt đầy đủ các quy định mới.</w:t>
      </w:r>
    </w:p>
    <w:p w14:paraId="6F6AFD1A" w14:textId="51A8C175" w:rsidR="00FE71EA" w:rsidRPr="001607AE" w:rsidRDefault="00FE71EA" w:rsidP="00856313">
      <w:pPr>
        <w:widowControl w:val="0"/>
        <w:adjustRightInd w:val="0"/>
        <w:snapToGrid w:val="0"/>
        <w:spacing w:after="120"/>
        <w:ind w:firstLine="567"/>
        <w:jc w:val="both"/>
        <w:rPr>
          <w:bCs/>
          <w:color w:val="0D0D0D" w:themeColor="text1" w:themeTint="F2"/>
        </w:rPr>
      </w:pPr>
      <w:r w:rsidRPr="001607AE">
        <w:rPr>
          <w:bCs/>
          <w:color w:val="0D0D0D" w:themeColor="text1" w:themeTint="F2"/>
          <w:lang w:val="vi-VN"/>
        </w:rPr>
        <w:t xml:space="preserve">Với các nội dung nêu trên, dự thảo Quy </w:t>
      </w:r>
      <w:r w:rsidR="00856313" w:rsidRPr="001607AE">
        <w:rPr>
          <w:bCs/>
          <w:color w:val="0D0D0D" w:themeColor="text1" w:themeTint="F2"/>
        </w:rPr>
        <w:t>định</w:t>
      </w:r>
      <w:r w:rsidRPr="001607AE">
        <w:rPr>
          <w:bCs/>
          <w:color w:val="0D0D0D" w:themeColor="text1" w:themeTint="F2"/>
          <w:lang w:val="vi-VN"/>
        </w:rPr>
        <w:t xml:space="preserve"> được kỳ vọng sẽ tạo môi trường pháp lý thuận lợi, thúc đẩy mạnh mẽ hoạt động khoa học, công nghệ và đổi mới sáng tạo, đóng góp tích cực vào mục tiêu chuyển đổi số, phát triển kinh tế tri thức và phát triển bền vững của </w:t>
      </w:r>
      <w:r w:rsidR="00856313" w:rsidRPr="001607AE">
        <w:rPr>
          <w:bCs/>
          <w:color w:val="0D0D0D" w:themeColor="text1" w:themeTint="F2"/>
        </w:rPr>
        <w:t>tỉnh Lào Cai</w:t>
      </w:r>
      <w:r w:rsidRPr="001607AE">
        <w:rPr>
          <w:bCs/>
          <w:color w:val="0D0D0D" w:themeColor="text1" w:themeTint="F2"/>
          <w:lang w:val="vi-VN"/>
        </w:rPr>
        <w:t xml:space="preserve"> trong giai đoạn tới.</w:t>
      </w:r>
    </w:p>
    <w:p w14:paraId="767CBADD" w14:textId="77777777" w:rsidR="00FE71EA" w:rsidRPr="001607AE" w:rsidRDefault="00FE71EA" w:rsidP="00FE71EA">
      <w:pPr>
        <w:widowControl w:val="0"/>
        <w:adjustRightInd w:val="0"/>
        <w:snapToGrid w:val="0"/>
        <w:spacing w:after="120"/>
        <w:ind w:firstLine="567"/>
        <w:jc w:val="both"/>
        <w:rPr>
          <w:b/>
          <w:bCs/>
          <w:color w:val="0D0D0D" w:themeColor="text1" w:themeTint="F2"/>
          <w:lang w:val="vi-VN"/>
        </w:rPr>
      </w:pPr>
      <w:r w:rsidRPr="001607AE">
        <w:rPr>
          <w:b/>
          <w:bCs/>
          <w:color w:val="0D0D0D" w:themeColor="text1" w:themeTint="F2"/>
          <w:lang w:val="vi-VN"/>
        </w:rPr>
        <w:t>4. Việc bảo đảm bình đẳng giới (nếu trong dự thảo văn bản có quy định về bình đẳng giới)</w:t>
      </w:r>
      <w:bookmarkEnd w:id="7"/>
      <w:bookmarkEnd w:id="8"/>
      <w:bookmarkEnd w:id="9"/>
    </w:p>
    <w:p w14:paraId="2A19AA32" w14:textId="109B07E8" w:rsidR="00FE71EA" w:rsidRPr="001607AE" w:rsidRDefault="00FE71EA" w:rsidP="00FE71EA">
      <w:pPr>
        <w:widowControl w:val="0"/>
        <w:adjustRightInd w:val="0"/>
        <w:snapToGrid w:val="0"/>
        <w:spacing w:after="120"/>
        <w:ind w:firstLine="567"/>
        <w:jc w:val="both"/>
        <w:rPr>
          <w:color w:val="0D0D0D" w:themeColor="text1" w:themeTint="F2"/>
          <w:lang w:val="vi-VN"/>
        </w:rPr>
      </w:pPr>
      <w:r w:rsidRPr="001607AE">
        <w:rPr>
          <w:color w:val="0D0D0D" w:themeColor="text1" w:themeTint="F2"/>
          <w:lang w:val="vi-VN"/>
        </w:rPr>
        <w:t xml:space="preserve">Dự thảo Quy </w:t>
      </w:r>
      <w:r w:rsidR="00640D8B" w:rsidRPr="001607AE">
        <w:rPr>
          <w:color w:val="0D0D0D" w:themeColor="text1" w:themeTint="F2"/>
        </w:rPr>
        <w:t>định</w:t>
      </w:r>
      <w:r w:rsidRPr="001607AE">
        <w:rPr>
          <w:color w:val="0D0D0D" w:themeColor="text1" w:themeTint="F2"/>
          <w:lang w:val="vi-VN"/>
        </w:rPr>
        <w:t xml:space="preserve"> không có quy định phân biệt đối xử về giới, các nội dung được áp dụng thống nhất, bình đẳng đối với mọi tổ chức, cá nhân tham gia hoạt động khoa học, công nghệ và đổi mới sáng tạo, không phụ thuộc giới tính.</w:t>
      </w:r>
    </w:p>
    <w:p w14:paraId="35A30805" w14:textId="77777777" w:rsidR="00FE71EA" w:rsidRPr="001607AE" w:rsidRDefault="00FE71EA" w:rsidP="00FE71EA">
      <w:pPr>
        <w:widowControl w:val="0"/>
        <w:adjustRightInd w:val="0"/>
        <w:snapToGrid w:val="0"/>
        <w:spacing w:after="120"/>
        <w:ind w:firstLine="567"/>
        <w:jc w:val="both"/>
        <w:rPr>
          <w:color w:val="0D0D0D" w:themeColor="text1" w:themeTint="F2"/>
          <w:lang w:val="vi-VN"/>
        </w:rPr>
      </w:pPr>
      <w:r w:rsidRPr="001607AE">
        <w:rPr>
          <w:color w:val="0D0D0D" w:themeColor="text1" w:themeTint="F2"/>
          <w:lang w:val="vi-VN"/>
        </w:rPr>
        <w:t xml:space="preserve">Điều kiện tham gia, tuyển chọn, đánh giá nhiệm vụ được quy định theo tiêu chí chuyên môn và hiệu quả kinh tế </w:t>
      </w:r>
      <w:r w:rsidRPr="001607AE">
        <w:rPr>
          <w:color w:val="0D0D0D" w:themeColor="text1" w:themeTint="F2"/>
        </w:rPr>
        <w:t>-</w:t>
      </w:r>
      <w:r w:rsidRPr="001607AE">
        <w:rPr>
          <w:color w:val="0D0D0D" w:themeColor="text1" w:themeTint="F2"/>
          <w:lang w:val="vi-VN"/>
        </w:rPr>
        <w:t xml:space="preserve"> xã hội, không xét đến yếu tố giới của tổ chức, chủ nhiệm hoặc thành viên thực hiện. Thành phần hội đồng tư vấn, tổ chuyên gia được lựa chọn trên cơ sở năng lực, trình độ và uy tín, không có hạn chế về giới.</w:t>
      </w:r>
    </w:p>
    <w:p w14:paraId="4A778913" w14:textId="60828F40" w:rsidR="00FE71EA" w:rsidRPr="001607AE" w:rsidRDefault="00FE71EA" w:rsidP="00FE71EA">
      <w:pPr>
        <w:widowControl w:val="0"/>
        <w:adjustRightInd w:val="0"/>
        <w:snapToGrid w:val="0"/>
        <w:spacing w:after="120"/>
        <w:ind w:firstLine="567"/>
        <w:jc w:val="both"/>
        <w:rPr>
          <w:color w:val="0D0D0D" w:themeColor="text1" w:themeTint="F2"/>
          <w:lang w:val="vi-VN"/>
        </w:rPr>
      </w:pPr>
      <w:r w:rsidRPr="001607AE">
        <w:rPr>
          <w:color w:val="0D0D0D" w:themeColor="text1" w:themeTint="F2"/>
          <w:lang w:val="vi-VN"/>
        </w:rPr>
        <w:t xml:space="preserve">Việc thực hiện Quy </w:t>
      </w:r>
      <w:r w:rsidR="00D352CD" w:rsidRPr="001607AE">
        <w:rPr>
          <w:color w:val="0D0D0D" w:themeColor="text1" w:themeTint="F2"/>
        </w:rPr>
        <w:t>định</w:t>
      </w:r>
      <w:r w:rsidRPr="001607AE">
        <w:rPr>
          <w:color w:val="0D0D0D" w:themeColor="text1" w:themeTint="F2"/>
          <w:lang w:val="vi-VN"/>
        </w:rPr>
        <w:t xml:space="preserve"> bảo đảm cơ hội tiếp cận nguồn lực hỗ trợ công bằng cho cả nam và nữ, không phát sinh tác động bất lợi hoặc làm gia tăng khoảng cách giới, phù hợp với quy định của Luật Bình đẳng giới và các cam kết quốc tế mà Việt Nam là thành viên.</w:t>
      </w:r>
    </w:p>
    <w:p w14:paraId="66D26EE6" w14:textId="77777777" w:rsidR="00FE71EA" w:rsidRPr="001607AE" w:rsidRDefault="00FE71EA" w:rsidP="00FE71EA">
      <w:pPr>
        <w:widowControl w:val="0"/>
        <w:adjustRightInd w:val="0"/>
        <w:snapToGrid w:val="0"/>
        <w:spacing w:after="120"/>
        <w:ind w:firstLine="567"/>
        <w:jc w:val="both"/>
        <w:rPr>
          <w:b/>
          <w:bCs/>
          <w:color w:val="0D0D0D" w:themeColor="text1" w:themeTint="F2"/>
          <w:lang w:val="vi-VN"/>
        </w:rPr>
      </w:pPr>
      <w:bookmarkStart w:id="10" w:name="bookmark1172"/>
      <w:bookmarkStart w:id="11" w:name="bookmark1170"/>
      <w:bookmarkStart w:id="12" w:name="bookmark1171"/>
      <w:bookmarkStart w:id="13" w:name="bookmark1173"/>
      <w:bookmarkEnd w:id="10"/>
      <w:r w:rsidRPr="001607AE">
        <w:rPr>
          <w:b/>
          <w:bCs/>
          <w:color w:val="0D0D0D" w:themeColor="text1" w:themeTint="F2"/>
          <w:lang w:val="vi-VN"/>
        </w:rPr>
        <w:t>5. Việc thực hiện chính sách dân tộc (nếu trong dự thảo văn bản có quy định về chính sách dân tộc)</w:t>
      </w:r>
      <w:bookmarkEnd w:id="11"/>
      <w:bookmarkEnd w:id="12"/>
      <w:bookmarkEnd w:id="13"/>
    </w:p>
    <w:p w14:paraId="44F7C5C1" w14:textId="77777777" w:rsidR="00507AC5" w:rsidRPr="001607AE" w:rsidRDefault="00FE71EA" w:rsidP="00507AC5">
      <w:pPr>
        <w:widowControl w:val="0"/>
        <w:adjustRightInd w:val="0"/>
        <w:snapToGrid w:val="0"/>
        <w:spacing w:after="120"/>
        <w:ind w:firstLine="567"/>
        <w:jc w:val="both"/>
        <w:rPr>
          <w:color w:val="0D0D0D" w:themeColor="text1" w:themeTint="F2"/>
        </w:rPr>
      </w:pPr>
      <w:r w:rsidRPr="001607AE">
        <w:rPr>
          <w:color w:val="0D0D0D" w:themeColor="text1" w:themeTint="F2"/>
          <w:lang w:val="vi-VN"/>
        </w:rPr>
        <w:t xml:space="preserve">Dự thảo </w:t>
      </w:r>
      <w:r w:rsidR="0062449A" w:rsidRPr="001607AE">
        <w:rPr>
          <w:color w:val="0D0D0D" w:themeColor="text1" w:themeTint="F2"/>
        </w:rPr>
        <w:t>Quy định</w:t>
      </w:r>
      <w:r w:rsidRPr="001607AE">
        <w:rPr>
          <w:color w:val="0D0D0D" w:themeColor="text1" w:themeTint="F2"/>
          <w:lang w:val="vi-VN"/>
        </w:rPr>
        <w:t xml:space="preserve"> tuân thủ nguyên tắc bình đẳng, đoàn kết, tôn trọng giữa các dân tộc, được áp dụng thống nhất trên toàn địa bàn </w:t>
      </w:r>
      <w:r w:rsidR="00171330" w:rsidRPr="001607AE">
        <w:rPr>
          <w:color w:val="0D0D0D" w:themeColor="text1" w:themeTint="F2"/>
        </w:rPr>
        <w:t>toàn tỉnh</w:t>
      </w:r>
      <w:r w:rsidRPr="001607AE">
        <w:rPr>
          <w:color w:val="0D0D0D" w:themeColor="text1" w:themeTint="F2"/>
          <w:lang w:val="vi-VN"/>
        </w:rPr>
        <w:t xml:space="preserve"> đối với mọi tổ chức, cá nhân có liên quan, không phân biệt dân tộc. Nội dung dự thảo không đặt ra bất kỳ điều kiện, tiêu chí nào liên quan đến thành phần dân tộc của tổ chức, cá nhân tham gia nhiệm vụ khoa học, công nghệ và đổi mới sáng tạo; do đó quyền và lợi ích hợp pháp của các dân tộc được bảo đảm như nhau trong quá trình thụ </w:t>
      </w:r>
      <w:r w:rsidRPr="001607AE">
        <w:rPr>
          <w:color w:val="0D0D0D" w:themeColor="text1" w:themeTint="F2"/>
          <w:lang w:val="vi-VN"/>
        </w:rPr>
        <w:lastRenderedPageBreak/>
        <w:t>hưởng chính sách.</w:t>
      </w:r>
      <w:bookmarkStart w:id="14" w:name="bookmark1174"/>
      <w:bookmarkEnd w:id="14"/>
    </w:p>
    <w:p w14:paraId="5F8C26A8" w14:textId="657E9A71" w:rsidR="00612CD9" w:rsidRPr="001607AE" w:rsidRDefault="00FE71EA" w:rsidP="00507AC5">
      <w:pPr>
        <w:widowControl w:val="0"/>
        <w:adjustRightInd w:val="0"/>
        <w:snapToGrid w:val="0"/>
        <w:spacing w:after="120"/>
        <w:ind w:firstLine="567"/>
        <w:jc w:val="both"/>
        <w:rPr>
          <w:color w:val="0D0D0D" w:themeColor="text1" w:themeTint="F2"/>
        </w:rPr>
      </w:pPr>
      <w:r w:rsidRPr="001607AE">
        <w:rPr>
          <w:b/>
          <w:bCs/>
          <w:color w:val="0D0D0D" w:themeColor="text1" w:themeTint="F2"/>
          <w:lang w:val="vi-VN"/>
        </w:rPr>
        <w:t>III. PHỤ LỤC (nếu có)</w:t>
      </w:r>
      <w:r w:rsidRPr="001607AE">
        <w:rPr>
          <w:b/>
          <w:bCs/>
          <w:color w:val="0D0D0D" w:themeColor="text1" w:themeTint="F2"/>
        </w:rPr>
        <w:t>: Khôn</w:t>
      </w:r>
      <w:r w:rsidR="007E14ED" w:rsidRPr="001607AE">
        <w:rPr>
          <w:b/>
          <w:bCs/>
          <w:color w:val="0D0D0D" w:themeColor="text1" w:themeTint="F2"/>
        </w:rPr>
        <w:t>g.</w:t>
      </w:r>
    </w:p>
    <w:p w14:paraId="48C78847" w14:textId="7BAE0EA2" w:rsidR="007E61A5" w:rsidRPr="001607AE" w:rsidRDefault="00657F4C" w:rsidP="00795C1A">
      <w:pPr>
        <w:rPr>
          <w:color w:val="0D0D0D" w:themeColor="text1" w:themeTint="F2"/>
          <w:lang w:val="pl-PL"/>
        </w:rPr>
      </w:pPr>
      <w:r w:rsidRPr="001607AE">
        <w:rPr>
          <w:color w:val="0D0D0D" w:themeColor="text1" w:themeTint="F2"/>
        </w:rPr>
        <w:t xml:space="preserve">       </w:t>
      </w:r>
    </w:p>
    <w:p w14:paraId="04B84E1D" w14:textId="77777777" w:rsidR="00657F4C" w:rsidRPr="001607AE" w:rsidRDefault="00657F4C">
      <w:pPr>
        <w:rPr>
          <w:color w:val="0D0D0D" w:themeColor="text1" w:themeTint="F2"/>
        </w:rPr>
      </w:pPr>
    </w:p>
    <w:sectPr w:rsidR="00657F4C" w:rsidRPr="001607AE" w:rsidSect="00ED72AF">
      <w:head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AC3C1" w14:textId="77777777" w:rsidR="00421B47" w:rsidRDefault="00421B47" w:rsidP="00AA1B85">
      <w:r>
        <w:separator/>
      </w:r>
    </w:p>
  </w:endnote>
  <w:endnote w:type="continuationSeparator" w:id="0">
    <w:p w14:paraId="1F40847C" w14:textId="77777777" w:rsidR="00421B47" w:rsidRDefault="00421B47" w:rsidP="00AA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40692" w14:textId="77777777" w:rsidR="00421B47" w:rsidRDefault="00421B47" w:rsidP="00AA1B85">
      <w:r>
        <w:separator/>
      </w:r>
    </w:p>
  </w:footnote>
  <w:footnote w:type="continuationSeparator" w:id="0">
    <w:p w14:paraId="3646020A" w14:textId="77777777" w:rsidR="00421B47" w:rsidRDefault="00421B47" w:rsidP="00AA1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031963"/>
      <w:docPartObj>
        <w:docPartGallery w:val="Page Numbers (Top of Page)"/>
        <w:docPartUnique/>
      </w:docPartObj>
    </w:sdtPr>
    <w:sdtEndPr>
      <w:rPr>
        <w:noProof/>
      </w:rPr>
    </w:sdtEndPr>
    <w:sdtContent>
      <w:p w14:paraId="51AABAD6" w14:textId="283A51B9" w:rsidR="00612CD9" w:rsidRDefault="00612CD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C2DA6E" w14:textId="77777777" w:rsidR="00612CD9" w:rsidRDefault="00612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38C"/>
    <w:multiLevelType w:val="hybridMultilevel"/>
    <w:tmpl w:val="13EEF0CE"/>
    <w:lvl w:ilvl="0" w:tplc="9F7CE806">
      <w:start w:val="1"/>
      <w:numFmt w:val="decimal"/>
      <w:lvlText w:val="%1."/>
      <w:lvlJc w:val="left"/>
      <w:pPr>
        <w:ind w:left="644" w:hanging="360"/>
      </w:pPr>
      <w:rPr>
        <w:rFonts w:hint="default"/>
        <w:i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28A39F6"/>
    <w:multiLevelType w:val="hybridMultilevel"/>
    <w:tmpl w:val="71D09C46"/>
    <w:lvl w:ilvl="0" w:tplc="6B005B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B493BE5"/>
    <w:multiLevelType w:val="hybridMultilevel"/>
    <w:tmpl w:val="13EEF0CE"/>
    <w:lvl w:ilvl="0" w:tplc="FFFFFFFF">
      <w:start w:val="1"/>
      <w:numFmt w:val="decimal"/>
      <w:lvlText w:val="%1."/>
      <w:lvlJc w:val="left"/>
      <w:pPr>
        <w:ind w:left="644" w:hanging="360"/>
      </w:pPr>
      <w:rPr>
        <w:rFonts w:hint="default"/>
        <w:i w:val="0"/>
        <w:sz w:val="24"/>
        <w:szCs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2FB03E4F"/>
    <w:multiLevelType w:val="hybridMultilevel"/>
    <w:tmpl w:val="13EEF0CE"/>
    <w:lvl w:ilvl="0" w:tplc="FFFFFFFF">
      <w:start w:val="1"/>
      <w:numFmt w:val="decimal"/>
      <w:lvlText w:val="%1."/>
      <w:lvlJc w:val="left"/>
      <w:pPr>
        <w:ind w:left="644" w:hanging="360"/>
      </w:pPr>
      <w:rPr>
        <w:rFonts w:hint="default"/>
        <w:i w:val="0"/>
        <w:sz w:val="24"/>
        <w:szCs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3ABF608C"/>
    <w:multiLevelType w:val="hybridMultilevel"/>
    <w:tmpl w:val="176AA104"/>
    <w:lvl w:ilvl="0" w:tplc="4FD8AB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FE52807"/>
    <w:multiLevelType w:val="hybridMultilevel"/>
    <w:tmpl w:val="06EA9568"/>
    <w:lvl w:ilvl="0" w:tplc="632287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324115655">
    <w:abstractNumId w:val="5"/>
  </w:num>
  <w:num w:numId="2" w16cid:durableId="1472551312">
    <w:abstractNumId w:val="1"/>
  </w:num>
  <w:num w:numId="3" w16cid:durableId="347097968">
    <w:abstractNumId w:val="0"/>
  </w:num>
  <w:num w:numId="4" w16cid:durableId="1110660644">
    <w:abstractNumId w:val="2"/>
  </w:num>
  <w:num w:numId="5" w16cid:durableId="1516070808">
    <w:abstractNumId w:val="3"/>
  </w:num>
  <w:num w:numId="6" w16cid:durableId="269554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AAF"/>
    <w:rsid w:val="000265BD"/>
    <w:rsid w:val="000818CE"/>
    <w:rsid w:val="000A261D"/>
    <w:rsid w:val="000C1BB4"/>
    <w:rsid w:val="000D7FA6"/>
    <w:rsid w:val="000F0C87"/>
    <w:rsid w:val="0010199D"/>
    <w:rsid w:val="001261E2"/>
    <w:rsid w:val="00131D1E"/>
    <w:rsid w:val="001607AE"/>
    <w:rsid w:val="00166C9F"/>
    <w:rsid w:val="00171330"/>
    <w:rsid w:val="001B7143"/>
    <w:rsid w:val="001D21D9"/>
    <w:rsid w:val="001D603A"/>
    <w:rsid w:val="001D6696"/>
    <w:rsid w:val="001D7032"/>
    <w:rsid w:val="001E660E"/>
    <w:rsid w:val="0020363E"/>
    <w:rsid w:val="002117D7"/>
    <w:rsid w:val="00221B16"/>
    <w:rsid w:val="00263D1A"/>
    <w:rsid w:val="00274301"/>
    <w:rsid w:val="002842C2"/>
    <w:rsid w:val="002915EB"/>
    <w:rsid w:val="002949BE"/>
    <w:rsid w:val="002C22AB"/>
    <w:rsid w:val="002C5A88"/>
    <w:rsid w:val="002E3D86"/>
    <w:rsid w:val="002E3E6A"/>
    <w:rsid w:val="002E42C2"/>
    <w:rsid w:val="002F5D42"/>
    <w:rsid w:val="00326182"/>
    <w:rsid w:val="00354648"/>
    <w:rsid w:val="003A05C3"/>
    <w:rsid w:val="003B0222"/>
    <w:rsid w:val="003B47A1"/>
    <w:rsid w:val="003C5FF5"/>
    <w:rsid w:val="003E0D4D"/>
    <w:rsid w:val="00421B47"/>
    <w:rsid w:val="00422554"/>
    <w:rsid w:val="00424FF3"/>
    <w:rsid w:val="00425DAC"/>
    <w:rsid w:val="0043219A"/>
    <w:rsid w:val="00434881"/>
    <w:rsid w:val="00441A23"/>
    <w:rsid w:val="004538FA"/>
    <w:rsid w:val="004626B7"/>
    <w:rsid w:val="0047466A"/>
    <w:rsid w:val="00486B8A"/>
    <w:rsid w:val="00495519"/>
    <w:rsid w:val="004B0E48"/>
    <w:rsid w:val="004C1CD9"/>
    <w:rsid w:val="00507AC5"/>
    <w:rsid w:val="00520DA3"/>
    <w:rsid w:val="00533632"/>
    <w:rsid w:val="00576A98"/>
    <w:rsid w:val="00587C58"/>
    <w:rsid w:val="0059512E"/>
    <w:rsid w:val="005A2AC4"/>
    <w:rsid w:val="005C3AFA"/>
    <w:rsid w:val="005D2011"/>
    <w:rsid w:val="005D4F64"/>
    <w:rsid w:val="00612CD9"/>
    <w:rsid w:val="00613353"/>
    <w:rsid w:val="0062449A"/>
    <w:rsid w:val="00640929"/>
    <w:rsid w:val="00640D8B"/>
    <w:rsid w:val="00653B3D"/>
    <w:rsid w:val="00657F4C"/>
    <w:rsid w:val="006961EE"/>
    <w:rsid w:val="006A5E1E"/>
    <w:rsid w:val="006B25F0"/>
    <w:rsid w:val="006C293B"/>
    <w:rsid w:val="006D5C93"/>
    <w:rsid w:val="006E06A8"/>
    <w:rsid w:val="00720375"/>
    <w:rsid w:val="00732226"/>
    <w:rsid w:val="00781E09"/>
    <w:rsid w:val="00795C1A"/>
    <w:rsid w:val="00796DED"/>
    <w:rsid w:val="007A7815"/>
    <w:rsid w:val="007B4206"/>
    <w:rsid w:val="007B5CC3"/>
    <w:rsid w:val="007B716D"/>
    <w:rsid w:val="007C2ED4"/>
    <w:rsid w:val="007C3985"/>
    <w:rsid w:val="007D54F1"/>
    <w:rsid w:val="007E14ED"/>
    <w:rsid w:val="007E1934"/>
    <w:rsid w:val="007E61A5"/>
    <w:rsid w:val="007F0AA7"/>
    <w:rsid w:val="007F7390"/>
    <w:rsid w:val="00801799"/>
    <w:rsid w:val="0081273E"/>
    <w:rsid w:val="0081610B"/>
    <w:rsid w:val="00826E45"/>
    <w:rsid w:val="00830527"/>
    <w:rsid w:val="00836023"/>
    <w:rsid w:val="00842C53"/>
    <w:rsid w:val="00850780"/>
    <w:rsid w:val="00856313"/>
    <w:rsid w:val="0086432B"/>
    <w:rsid w:val="008764BA"/>
    <w:rsid w:val="008935CB"/>
    <w:rsid w:val="008941D3"/>
    <w:rsid w:val="008C7F0D"/>
    <w:rsid w:val="008E1578"/>
    <w:rsid w:val="00911283"/>
    <w:rsid w:val="009240FB"/>
    <w:rsid w:val="00932442"/>
    <w:rsid w:val="009775C7"/>
    <w:rsid w:val="009B318A"/>
    <w:rsid w:val="009B73EB"/>
    <w:rsid w:val="009C7BA6"/>
    <w:rsid w:val="009E5C73"/>
    <w:rsid w:val="009E5CEB"/>
    <w:rsid w:val="009E5E5B"/>
    <w:rsid w:val="009E74FB"/>
    <w:rsid w:val="009F52C6"/>
    <w:rsid w:val="00A33F8B"/>
    <w:rsid w:val="00A46677"/>
    <w:rsid w:val="00A52476"/>
    <w:rsid w:val="00A609C7"/>
    <w:rsid w:val="00A67342"/>
    <w:rsid w:val="00A81A83"/>
    <w:rsid w:val="00A8267E"/>
    <w:rsid w:val="00A83A71"/>
    <w:rsid w:val="00A924A8"/>
    <w:rsid w:val="00A94058"/>
    <w:rsid w:val="00AA1B85"/>
    <w:rsid w:val="00AB476A"/>
    <w:rsid w:val="00AC1212"/>
    <w:rsid w:val="00AE504D"/>
    <w:rsid w:val="00AF28B5"/>
    <w:rsid w:val="00B126DE"/>
    <w:rsid w:val="00B5275B"/>
    <w:rsid w:val="00B93C61"/>
    <w:rsid w:val="00B94B1E"/>
    <w:rsid w:val="00BA2BEB"/>
    <w:rsid w:val="00BA5552"/>
    <w:rsid w:val="00BD5E45"/>
    <w:rsid w:val="00BF7AAF"/>
    <w:rsid w:val="00C235B8"/>
    <w:rsid w:val="00C2380A"/>
    <w:rsid w:val="00C25BF5"/>
    <w:rsid w:val="00C63F01"/>
    <w:rsid w:val="00C65FC7"/>
    <w:rsid w:val="00C75211"/>
    <w:rsid w:val="00C753EE"/>
    <w:rsid w:val="00CA59F7"/>
    <w:rsid w:val="00D01D79"/>
    <w:rsid w:val="00D200DB"/>
    <w:rsid w:val="00D310D4"/>
    <w:rsid w:val="00D352CD"/>
    <w:rsid w:val="00D66225"/>
    <w:rsid w:val="00D72EC2"/>
    <w:rsid w:val="00D75E8D"/>
    <w:rsid w:val="00DC0F33"/>
    <w:rsid w:val="00DD257A"/>
    <w:rsid w:val="00DD2BB4"/>
    <w:rsid w:val="00DF13F8"/>
    <w:rsid w:val="00E06926"/>
    <w:rsid w:val="00E178A3"/>
    <w:rsid w:val="00E67B82"/>
    <w:rsid w:val="00EA743D"/>
    <w:rsid w:val="00EA7723"/>
    <w:rsid w:val="00EC3555"/>
    <w:rsid w:val="00ED2CF8"/>
    <w:rsid w:val="00ED72AF"/>
    <w:rsid w:val="00EE0ED5"/>
    <w:rsid w:val="00EF7297"/>
    <w:rsid w:val="00F100B2"/>
    <w:rsid w:val="00F10BCF"/>
    <w:rsid w:val="00F15FF8"/>
    <w:rsid w:val="00F30E85"/>
    <w:rsid w:val="00F4163F"/>
    <w:rsid w:val="00F9470D"/>
    <w:rsid w:val="00FA6F72"/>
    <w:rsid w:val="00FB2FDE"/>
    <w:rsid w:val="00FE7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2B2C"/>
  <w15:chartTrackingRefBased/>
  <w15:docId w15:val="{0ACD243F-DC22-4209-85AB-274A0E42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AAF"/>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F7A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7A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7AAF"/>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F7AA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F7AA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F7AA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F7AA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F7AA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F7AA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AAF"/>
    <w:rPr>
      <w:rFonts w:eastAsiaTheme="majorEastAsia" w:cstheme="majorBidi"/>
      <w:color w:val="272727" w:themeColor="text1" w:themeTint="D8"/>
    </w:rPr>
  </w:style>
  <w:style w:type="paragraph" w:styleId="Title">
    <w:name w:val="Title"/>
    <w:basedOn w:val="Normal"/>
    <w:next w:val="Normal"/>
    <w:link w:val="TitleChar"/>
    <w:uiPriority w:val="10"/>
    <w:qFormat/>
    <w:rsid w:val="00BF7AA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7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AAF"/>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F7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AA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F7AAF"/>
    <w:rPr>
      <w:i/>
      <w:iCs/>
      <w:color w:val="404040" w:themeColor="text1" w:themeTint="BF"/>
    </w:rPr>
  </w:style>
  <w:style w:type="paragraph" w:styleId="ListParagraph">
    <w:name w:val="List Paragraph"/>
    <w:basedOn w:val="Normal"/>
    <w:uiPriority w:val="34"/>
    <w:qFormat/>
    <w:rsid w:val="00BF7AA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F7AAF"/>
    <w:rPr>
      <w:i/>
      <w:iCs/>
      <w:color w:val="0F4761" w:themeColor="accent1" w:themeShade="BF"/>
    </w:rPr>
  </w:style>
  <w:style w:type="paragraph" w:styleId="IntenseQuote">
    <w:name w:val="Intense Quote"/>
    <w:basedOn w:val="Normal"/>
    <w:next w:val="Normal"/>
    <w:link w:val="IntenseQuoteChar"/>
    <w:uiPriority w:val="30"/>
    <w:qFormat/>
    <w:rsid w:val="00BF7A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F7AAF"/>
    <w:rPr>
      <w:i/>
      <w:iCs/>
      <w:color w:val="0F4761" w:themeColor="accent1" w:themeShade="BF"/>
    </w:rPr>
  </w:style>
  <w:style w:type="character" w:styleId="IntenseReference">
    <w:name w:val="Intense Reference"/>
    <w:basedOn w:val="DefaultParagraphFont"/>
    <w:uiPriority w:val="32"/>
    <w:qFormat/>
    <w:rsid w:val="00BF7AAF"/>
    <w:rPr>
      <w:b/>
      <w:bCs/>
      <w:smallCaps/>
      <w:color w:val="0F4761" w:themeColor="accent1" w:themeShade="BF"/>
      <w:spacing w:val="5"/>
    </w:rPr>
  </w:style>
  <w:style w:type="table" w:customStyle="1" w:styleId="GenStyleDefTable">
    <w:name w:val="GenStyleDefTable"/>
    <w:rsid w:val="00BF7AAF"/>
    <w:pPr>
      <w:spacing w:after="0" w:line="240" w:lineRule="auto"/>
    </w:pPr>
    <w:rPr>
      <w:rFonts w:ascii="Times New Roman" w:eastAsia="Times New Roman" w:hAnsi="Times New Roman" w:cs="Times New Roman"/>
      <w:kern w:val="0"/>
      <w:sz w:val="20"/>
      <w:szCs w:val="22"/>
      <w:lang w:bidi="en-US"/>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BF7AAF"/>
    <w:pPr>
      <w:spacing w:before="100" w:beforeAutospacing="1" w:after="100" w:afterAutospacing="1"/>
    </w:pPr>
    <w:rPr>
      <w:sz w:val="24"/>
      <w:szCs w:val="24"/>
    </w:rPr>
  </w:style>
  <w:style w:type="character" w:customStyle="1" w:styleId="fontstyle01">
    <w:name w:val="fontstyle01"/>
    <w:basedOn w:val="DefaultParagraphFont"/>
    <w:rsid w:val="00C753EE"/>
    <w:rPr>
      <w:rFonts w:ascii="TimesNewRomanPSMT" w:hAnsi="TimesNewRomanPSMT" w:hint="default"/>
      <w:b w:val="0"/>
      <w:bCs w:val="0"/>
      <w:i w:val="0"/>
      <w:iCs w:val="0"/>
      <w:color w:val="000000"/>
      <w:sz w:val="24"/>
      <w:szCs w:val="24"/>
    </w:rPr>
  </w:style>
  <w:style w:type="paragraph" w:styleId="FootnoteText">
    <w:name w:val="footnote text"/>
    <w:basedOn w:val="Normal"/>
    <w:link w:val="FootnoteTextChar"/>
    <w:uiPriority w:val="99"/>
    <w:semiHidden/>
    <w:unhideWhenUsed/>
    <w:rsid w:val="00AA1B85"/>
    <w:pPr>
      <w:ind w:firstLine="720"/>
    </w:pPr>
    <w:rPr>
      <w:rFonts w:eastAsia="Calibri"/>
      <w:kern w:val="2"/>
      <w:sz w:val="20"/>
      <w:szCs w:val="20"/>
      <w14:ligatures w14:val="standardContextual"/>
    </w:rPr>
  </w:style>
  <w:style w:type="character" w:customStyle="1" w:styleId="FootnoteTextChar">
    <w:name w:val="Footnote Text Char"/>
    <w:basedOn w:val="DefaultParagraphFont"/>
    <w:link w:val="FootnoteText"/>
    <w:uiPriority w:val="99"/>
    <w:semiHidden/>
    <w:rsid w:val="00AA1B85"/>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AA1B85"/>
    <w:rPr>
      <w:vertAlign w:val="superscript"/>
    </w:rPr>
  </w:style>
  <w:style w:type="paragraph" w:styleId="Header">
    <w:name w:val="header"/>
    <w:basedOn w:val="Normal"/>
    <w:link w:val="HeaderChar"/>
    <w:uiPriority w:val="99"/>
    <w:unhideWhenUsed/>
    <w:rsid w:val="00612CD9"/>
    <w:pPr>
      <w:tabs>
        <w:tab w:val="center" w:pos="4680"/>
        <w:tab w:val="right" w:pos="9360"/>
      </w:tabs>
    </w:pPr>
  </w:style>
  <w:style w:type="character" w:customStyle="1" w:styleId="HeaderChar">
    <w:name w:val="Header Char"/>
    <w:basedOn w:val="DefaultParagraphFont"/>
    <w:link w:val="Header"/>
    <w:uiPriority w:val="99"/>
    <w:rsid w:val="00612CD9"/>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612CD9"/>
    <w:pPr>
      <w:tabs>
        <w:tab w:val="center" w:pos="4680"/>
        <w:tab w:val="right" w:pos="9360"/>
      </w:tabs>
    </w:pPr>
  </w:style>
  <w:style w:type="character" w:customStyle="1" w:styleId="FooterChar">
    <w:name w:val="Footer Char"/>
    <w:basedOn w:val="DefaultParagraphFont"/>
    <w:link w:val="Footer"/>
    <w:uiPriority w:val="99"/>
    <w:rsid w:val="00612CD9"/>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9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24E25-80B5-4A39-A79D-C9EC4066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6</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Nguyễn Thuỳ</dc:creator>
  <cp:keywords/>
  <dc:description/>
  <cp:lastModifiedBy>minhthu.qlkh minhthu.qlkh</cp:lastModifiedBy>
  <cp:revision>240</cp:revision>
  <dcterms:created xsi:type="dcterms:W3CDTF">2025-11-09T17:45:00Z</dcterms:created>
  <dcterms:modified xsi:type="dcterms:W3CDTF">2026-04-14T09:59:00Z</dcterms:modified>
</cp:coreProperties>
</file>